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6F" w:rsidRDefault="003B006F"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一、项目概括</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冠利园城市更新项目是一个超23万</w:t>
      </w:r>
      <w:r>
        <w:rPr>
          <w:rFonts w:hint="eastAsia"/>
          <w:color w:val="000000"/>
        </w:rPr>
        <w:t>㎡</w:t>
      </w:r>
      <w:r>
        <w:rPr>
          <w:rFonts w:ascii="微软雅黑" w:eastAsia="微软雅黑" w:hAnsi="微软雅黑" w:cs="微软雅黑" w:hint="eastAsia"/>
          <w:color w:val="000000"/>
        </w:rPr>
        <w:t>商住项目</w:t>
      </w:r>
      <w:r>
        <w:rPr>
          <w:rFonts w:ascii="微软雅黑" w:eastAsia="微软雅黑" w:hAnsi="微软雅黑" w:hint="eastAsia"/>
          <w:color w:val="000000"/>
        </w:rPr>
        <w:t xml:space="preserve"> 邻近在建13号线地铁口</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宝安区石岩街道冠利园城市更新项目位于宝安区石岩街道创业路与龙祥路交汇处东南侧，近在建地铁13号线“罗租站”。</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noProof/>
          <w:color w:val="000000"/>
        </w:rPr>
        <w:drawing>
          <wp:inline distT="0" distB="0" distL="0" distR="0">
            <wp:extent cx="5936751" cy="4657725"/>
            <wp:effectExtent l="19050" t="0" r="6849" b="0"/>
            <wp:docPr id="3" name="图片 3" descr="http://dongdong.szhomeimg.com/Article/Big/2021/05/05280730230149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ngdong.szhomeimg.com/Article/Big/2021/05/05280730230149960.JPG"/>
                    <pic:cNvPicPr>
                      <a:picLocks noChangeAspect="1" noChangeArrowheads="1"/>
                    </pic:cNvPicPr>
                  </pic:nvPicPr>
                  <pic:blipFill>
                    <a:blip r:embed="rId4" cstate="print"/>
                    <a:srcRect/>
                    <a:stretch>
                      <a:fillRect/>
                    </a:stretch>
                  </pic:blipFill>
                  <pic:spPr bwMode="auto">
                    <a:xfrm>
                      <a:off x="0" y="0"/>
                      <a:ext cx="5936751" cy="4657725"/>
                    </a:xfrm>
                    <a:prstGeom prst="rect">
                      <a:avLst/>
                    </a:prstGeom>
                    <a:noFill/>
                    <a:ln w="9525">
                      <a:noFill/>
                      <a:miter lim="800000"/>
                      <a:headEnd/>
                      <a:tailEnd/>
                    </a:ln>
                  </pic:spPr>
                </pic:pic>
              </a:graphicData>
            </a:graphic>
          </wp:inline>
        </w:drawing>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项目已列入《2011年深圳市城市更新单元规划制定计划第三批计划》，项目申报主体为深圳冠利达实业有限公司，拟更新方向为居住、商业等功能。</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更新单元用地面积63415.7</w:t>
      </w:r>
      <w:r>
        <w:rPr>
          <w:rFonts w:hint="eastAsia"/>
          <w:color w:val="000000"/>
        </w:rPr>
        <w:t>㎡</w:t>
      </w:r>
      <w:r>
        <w:rPr>
          <w:rFonts w:ascii="微软雅黑" w:eastAsia="微软雅黑" w:hAnsi="微软雅黑" w:cs="微软雅黑" w:hint="eastAsia"/>
          <w:color w:val="000000"/>
        </w:rPr>
        <w:t>，拆除范围用地面积</w:t>
      </w:r>
      <w:r>
        <w:rPr>
          <w:rFonts w:ascii="微软雅黑" w:eastAsia="微软雅黑" w:hAnsi="微软雅黑" w:hint="eastAsia"/>
          <w:color w:val="000000"/>
        </w:rPr>
        <w:t>61009.3</w:t>
      </w:r>
      <w:r>
        <w:rPr>
          <w:rFonts w:hint="eastAsia"/>
          <w:color w:val="000000"/>
        </w:rPr>
        <w:t>㎡</w:t>
      </w:r>
      <w:r>
        <w:rPr>
          <w:rFonts w:ascii="微软雅黑" w:eastAsia="微软雅黑" w:hAnsi="微软雅黑" w:cs="微软雅黑" w:hint="eastAsia"/>
          <w:color w:val="000000"/>
        </w:rPr>
        <w:t>，开发建设用地面积</w:t>
      </w:r>
      <w:r>
        <w:rPr>
          <w:rFonts w:ascii="微软雅黑" w:eastAsia="微软雅黑" w:hAnsi="微软雅黑" w:hint="eastAsia"/>
          <w:color w:val="000000"/>
        </w:rPr>
        <w:t>37999.8</w:t>
      </w:r>
      <w:r>
        <w:rPr>
          <w:rFonts w:hint="eastAsia"/>
          <w:color w:val="000000"/>
        </w:rPr>
        <w:t>㎡</w:t>
      </w:r>
      <w:r>
        <w:rPr>
          <w:rFonts w:ascii="微软雅黑" w:eastAsia="微软雅黑" w:hAnsi="微软雅黑" w:cs="微软雅黑" w:hint="eastAsia"/>
          <w:color w:val="000000"/>
        </w:rPr>
        <w:t>，规划容积为</w:t>
      </w:r>
      <w:r>
        <w:rPr>
          <w:rFonts w:ascii="微软雅黑" w:eastAsia="微软雅黑" w:hAnsi="微软雅黑" w:hint="eastAsia"/>
          <w:color w:val="000000"/>
        </w:rPr>
        <w:t>234814</w:t>
      </w:r>
      <w:r>
        <w:rPr>
          <w:rFonts w:hint="eastAsia"/>
          <w:color w:val="000000"/>
        </w:rPr>
        <w:t>㎡</w:t>
      </w:r>
      <w:r>
        <w:rPr>
          <w:rFonts w:ascii="微软雅黑" w:eastAsia="微软雅黑" w:hAnsi="微软雅黑" w:cs="微软雅黑" w:hint="eastAsia"/>
          <w:color w:val="000000"/>
        </w:rPr>
        <w:t>。</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noProof/>
          <w:color w:val="000000"/>
        </w:rPr>
        <w:lastRenderedPageBreak/>
        <w:drawing>
          <wp:inline distT="0" distB="0" distL="0" distR="0">
            <wp:extent cx="5078285" cy="4495800"/>
            <wp:effectExtent l="19050" t="0" r="8065" b="0"/>
            <wp:docPr id="4" name="图片 4" descr="http://dongdong.szhomeimg.com/Article/Big/2021/05/0528073023436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ngdong.szhomeimg.com/Article/Big/2021/05/05280730234365326.JPG"/>
                    <pic:cNvPicPr>
                      <a:picLocks noChangeAspect="1" noChangeArrowheads="1"/>
                    </pic:cNvPicPr>
                  </pic:nvPicPr>
                  <pic:blipFill>
                    <a:blip r:embed="rId5" cstate="print"/>
                    <a:srcRect/>
                    <a:stretch>
                      <a:fillRect/>
                    </a:stretch>
                  </pic:blipFill>
                  <pic:spPr bwMode="auto">
                    <a:xfrm>
                      <a:off x="0" y="0"/>
                      <a:ext cx="5078285" cy="4495800"/>
                    </a:xfrm>
                    <a:prstGeom prst="rect">
                      <a:avLst/>
                    </a:prstGeom>
                    <a:noFill/>
                    <a:ln w="9525">
                      <a:noFill/>
                      <a:miter lim="800000"/>
                      <a:headEnd/>
                      <a:tailEnd/>
                    </a:ln>
                  </pic:spPr>
                </pic:pic>
              </a:graphicData>
            </a:graphic>
          </wp:inline>
        </w:drawing>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其中住宅158735</w:t>
      </w:r>
      <w:r>
        <w:rPr>
          <w:rFonts w:hint="eastAsia"/>
          <w:color w:val="000000"/>
        </w:rPr>
        <w:t>㎡</w:t>
      </w:r>
      <w:r>
        <w:rPr>
          <w:rFonts w:ascii="微软雅黑" w:eastAsia="微软雅黑" w:hAnsi="微软雅黑" w:cs="微软雅黑" w:hint="eastAsia"/>
          <w:color w:val="000000"/>
        </w:rPr>
        <w:t>（含保障性住房</w:t>
      </w:r>
      <w:r>
        <w:rPr>
          <w:rFonts w:ascii="微软雅黑" w:eastAsia="微软雅黑" w:hAnsi="微软雅黑" w:hint="eastAsia"/>
          <w:color w:val="000000"/>
        </w:rPr>
        <w:t>44320</w:t>
      </w:r>
      <w:r>
        <w:rPr>
          <w:rFonts w:hint="eastAsia"/>
          <w:color w:val="000000"/>
        </w:rPr>
        <w:t>㎡</w:t>
      </w:r>
      <w:r>
        <w:rPr>
          <w:rFonts w:ascii="微软雅黑" w:eastAsia="微软雅黑" w:hAnsi="微软雅黑" w:cs="微软雅黑" w:hint="eastAsia"/>
          <w:color w:val="000000"/>
        </w:rPr>
        <w:t>），商业、办公及旅馆业建筑</w:t>
      </w:r>
      <w:r>
        <w:rPr>
          <w:rFonts w:ascii="微软雅黑" w:eastAsia="微软雅黑" w:hAnsi="微软雅黑" w:hint="eastAsia"/>
          <w:color w:val="000000"/>
        </w:rPr>
        <w:t>61169</w:t>
      </w:r>
      <w:r>
        <w:rPr>
          <w:rFonts w:hint="eastAsia"/>
          <w:color w:val="000000"/>
        </w:rPr>
        <w:t>㎡</w:t>
      </w:r>
      <w:r>
        <w:rPr>
          <w:rFonts w:ascii="微软雅黑" w:eastAsia="微软雅黑" w:hAnsi="微软雅黑" w:cs="微软雅黑" w:hint="eastAsia"/>
          <w:color w:val="000000"/>
        </w:rPr>
        <w:t>（含酒店</w:t>
      </w:r>
      <w:r>
        <w:rPr>
          <w:rFonts w:ascii="微软雅黑" w:eastAsia="微软雅黑" w:hAnsi="微软雅黑" w:hint="eastAsia"/>
          <w:color w:val="000000"/>
        </w:rPr>
        <w:t>20000</w:t>
      </w:r>
      <w:r>
        <w:rPr>
          <w:rFonts w:hint="eastAsia"/>
          <w:color w:val="000000"/>
        </w:rPr>
        <w:t>㎡</w:t>
      </w:r>
      <w:r>
        <w:rPr>
          <w:rFonts w:ascii="微软雅黑" w:eastAsia="微软雅黑" w:hAnsi="微软雅黑" w:cs="微软雅黑" w:hint="eastAsia"/>
          <w:color w:val="000000"/>
        </w:rPr>
        <w:t>），公共配套设施（含地下）</w:t>
      </w:r>
      <w:r>
        <w:rPr>
          <w:rFonts w:ascii="微软雅黑" w:eastAsia="微软雅黑" w:hAnsi="微软雅黑" w:hint="eastAsia"/>
          <w:color w:val="000000"/>
        </w:rPr>
        <w:t>14910</w:t>
      </w:r>
      <w:r>
        <w:rPr>
          <w:rFonts w:hint="eastAsia"/>
          <w:color w:val="000000"/>
        </w:rPr>
        <w:t>㎡</w:t>
      </w:r>
      <w:r>
        <w:rPr>
          <w:rFonts w:ascii="微软雅黑" w:eastAsia="微软雅黑" w:hAnsi="微软雅黑" w:cs="微软雅黑" w:hint="eastAsia"/>
          <w:color w:val="000000"/>
        </w:rPr>
        <w:t>（含</w:t>
      </w:r>
      <w:r>
        <w:rPr>
          <w:rFonts w:ascii="微软雅黑" w:eastAsia="微软雅黑" w:hAnsi="微软雅黑" w:hint="eastAsia"/>
          <w:color w:val="000000"/>
        </w:rPr>
        <w:t>12班幼儿园建筑3960</w:t>
      </w:r>
      <w:r>
        <w:rPr>
          <w:rFonts w:hint="eastAsia"/>
          <w:color w:val="000000"/>
        </w:rPr>
        <w:t>㎡</w:t>
      </w:r>
      <w:r>
        <w:rPr>
          <w:rFonts w:ascii="微软雅黑" w:eastAsia="微软雅黑" w:hAnsi="微软雅黑" w:cs="微软雅黑" w:hint="eastAsia"/>
          <w:color w:val="000000"/>
        </w:rPr>
        <w:t>、占地面积</w:t>
      </w:r>
      <w:r>
        <w:rPr>
          <w:rFonts w:ascii="微软雅黑" w:eastAsia="微软雅黑" w:hAnsi="微软雅黑" w:hint="eastAsia"/>
          <w:color w:val="000000"/>
        </w:rPr>
        <w:t>3600</w:t>
      </w:r>
      <w:r>
        <w:rPr>
          <w:rFonts w:hint="eastAsia"/>
          <w:color w:val="000000"/>
        </w:rPr>
        <w:t>㎡</w:t>
      </w:r>
      <w:r>
        <w:rPr>
          <w:rFonts w:ascii="微软雅黑" w:eastAsia="微软雅黑" w:hAnsi="微软雅黑" w:cs="微软雅黑" w:hint="eastAsia"/>
          <w:color w:val="000000"/>
        </w:rPr>
        <w:t>，社区老年人日间照料中心</w:t>
      </w:r>
      <w:r>
        <w:rPr>
          <w:rFonts w:ascii="微软雅黑" w:eastAsia="微软雅黑" w:hAnsi="微软雅黑" w:hint="eastAsia"/>
          <w:color w:val="000000"/>
        </w:rPr>
        <w:t>800</w:t>
      </w:r>
      <w:r>
        <w:rPr>
          <w:rFonts w:hint="eastAsia"/>
          <w:color w:val="000000"/>
        </w:rPr>
        <w:t>㎡</w:t>
      </w:r>
      <w:r>
        <w:rPr>
          <w:rFonts w:ascii="微软雅黑" w:eastAsia="微软雅黑" w:hAnsi="微软雅黑" w:cs="微软雅黑" w:hint="eastAsia"/>
          <w:color w:val="000000"/>
        </w:rPr>
        <w:t>、社区健康服务中心</w:t>
      </w:r>
      <w:r>
        <w:rPr>
          <w:rFonts w:ascii="微软雅黑" w:eastAsia="微软雅黑" w:hAnsi="微软雅黑" w:hint="eastAsia"/>
          <w:color w:val="000000"/>
        </w:rPr>
        <w:t>2800</w:t>
      </w:r>
      <w:r>
        <w:rPr>
          <w:rFonts w:hint="eastAsia"/>
          <w:color w:val="000000"/>
        </w:rPr>
        <w:t>㎡</w:t>
      </w:r>
      <w:r>
        <w:rPr>
          <w:rFonts w:ascii="微软雅黑" w:eastAsia="微软雅黑" w:hAnsi="微软雅黑" w:cs="微软雅黑" w:hint="eastAsia"/>
          <w:color w:val="000000"/>
        </w:rPr>
        <w:t>、便民服务站</w:t>
      </w:r>
      <w:r>
        <w:rPr>
          <w:rFonts w:ascii="微软雅黑" w:eastAsia="微软雅黑" w:hAnsi="微软雅黑" w:hint="eastAsia"/>
          <w:color w:val="000000"/>
        </w:rPr>
        <w:t>800</w:t>
      </w:r>
      <w:r>
        <w:rPr>
          <w:rFonts w:hint="eastAsia"/>
          <w:color w:val="000000"/>
        </w:rPr>
        <w:t>㎡</w:t>
      </w:r>
      <w:r>
        <w:rPr>
          <w:rFonts w:ascii="微软雅黑" w:eastAsia="微软雅黑" w:hAnsi="微软雅黑" w:cs="微软雅黑" w:hint="eastAsia"/>
          <w:color w:val="000000"/>
        </w:rPr>
        <w:t>、社区管理用房</w:t>
      </w:r>
      <w:r>
        <w:rPr>
          <w:rFonts w:ascii="微软雅黑" w:eastAsia="微软雅黑" w:hAnsi="微软雅黑" w:hint="eastAsia"/>
          <w:color w:val="000000"/>
        </w:rPr>
        <w:t>600</w:t>
      </w:r>
      <w:r>
        <w:rPr>
          <w:rFonts w:hint="eastAsia"/>
          <w:color w:val="000000"/>
        </w:rPr>
        <w:t>㎡</w:t>
      </w:r>
      <w:r>
        <w:rPr>
          <w:rFonts w:ascii="微软雅黑" w:eastAsia="微软雅黑" w:hAnsi="微软雅黑" w:cs="微软雅黑" w:hint="eastAsia"/>
          <w:color w:val="000000"/>
        </w:rPr>
        <w:t>、文化活动室</w:t>
      </w:r>
      <w:r>
        <w:rPr>
          <w:rFonts w:ascii="微软雅黑" w:eastAsia="微软雅黑" w:hAnsi="微软雅黑" w:hint="eastAsia"/>
          <w:color w:val="000000"/>
        </w:rPr>
        <w:t>1500</w:t>
      </w:r>
      <w:r>
        <w:rPr>
          <w:rFonts w:hint="eastAsia"/>
          <w:color w:val="000000"/>
        </w:rPr>
        <w:t>㎡</w:t>
      </w:r>
      <w:r>
        <w:rPr>
          <w:rFonts w:ascii="微软雅黑" w:eastAsia="微软雅黑" w:hAnsi="微软雅黑" w:cs="微软雅黑" w:hint="eastAsia"/>
          <w:color w:val="000000"/>
        </w:rPr>
        <w:t>、地下公共充电站</w:t>
      </w:r>
      <w:r>
        <w:rPr>
          <w:rFonts w:ascii="微软雅黑" w:eastAsia="微软雅黑" w:hAnsi="微软雅黑" w:hint="eastAsia"/>
          <w:color w:val="000000"/>
        </w:rPr>
        <w:t>1200</w:t>
      </w:r>
      <w:r>
        <w:rPr>
          <w:rFonts w:hint="eastAsia"/>
          <w:color w:val="000000"/>
        </w:rPr>
        <w:t>㎡</w:t>
      </w:r>
      <w:r>
        <w:rPr>
          <w:rFonts w:ascii="微软雅黑" w:eastAsia="微软雅黑" w:hAnsi="微软雅黑" w:cs="微软雅黑" w:hint="eastAsia"/>
          <w:color w:val="000000"/>
        </w:rPr>
        <w:t>、社区体育活动场地</w:t>
      </w:r>
      <w:r>
        <w:rPr>
          <w:rFonts w:ascii="微软雅黑" w:eastAsia="微软雅黑" w:hAnsi="微软雅黑" w:hint="eastAsia"/>
          <w:color w:val="000000"/>
        </w:rPr>
        <w:t>1500平方米</w:t>
      </w:r>
      <w:r>
        <w:rPr>
          <w:rFonts w:hint="eastAsia"/>
          <w:color w:val="000000"/>
        </w:rPr>
        <w:t>㎡</w:t>
      </w:r>
      <w:r>
        <w:rPr>
          <w:rFonts w:ascii="微软雅黑" w:eastAsia="微软雅黑" w:hAnsi="微软雅黑" w:cs="微软雅黑" w:hint="eastAsia"/>
          <w:color w:val="000000"/>
        </w:rPr>
        <w:t>（不计容）、社区级公共配套用房</w:t>
      </w:r>
      <w:r>
        <w:rPr>
          <w:rFonts w:ascii="微软雅黑" w:eastAsia="微软雅黑" w:hAnsi="微软雅黑" w:hint="eastAsia"/>
          <w:color w:val="000000"/>
        </w:rPr>
        <w:t>3250</w:t>
      </w:r>
      <w:r>
        <w:rPr>
          <w:rFonts w:hint="eastAsia"/>
          <w:color w:val="000000"/>
        </w:rPr>
        <w:t>㎡</w:t>
      </w:r>
      <w:r>
        <w:rPr>
          <w:rFonts w:ascii="微软雅黑" w:eastAsia="微软雅黑" w:hAnsi="微软雅黑" w:cs="微软雅黑" w:hint="eastAsia"/>
          <w:color w:val="000000"/>
        </w:rPr>
        <w:t>）。</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noProof/>
          <w:color w:val="000000"/>
        </w:rPr>
        <w:lastRenderedPageBreak/>
        <w:drawing>
          <wp:inline distT="0" distB="0" distL="0" distR="0">
            <wp:extent cx="5544810" cy="5019675"/>
            <wp:effectExtent l="19050" t="0" r="0" b="0"/>
            <wp:docPr id="5" name="图片 5" descr="http://dongdong.szhomeimg.com/Article/Big/2021/05/0528073023592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ngdong.szhomeimg.com/Article/Big/2021/05/0528073023592343.JPG"/>
                    <pic:cNvPicPr>
                      <a:picLocks noChangeAspect="1" noChangeArrowheads="1"/>
                    </pic:cNvPicPr>
                  </pic:nvPicPr>
                  <pic:blipFill>
                    <a:blip r:embed="rId6" cstate="print"/>
                    <a:srcRect/>
                    <a:stretch>
                      <a:fillRect/>
                    </a:stretch>
                  </pic:blipFill>
                  <pic:spPr bwMode="auto">
                    <a:xfrm>
                      <a:off x="0" y="0"/>
                      <a:ext cx="5544810" cy="5019675"/>
                    </a:xfrm>
                    <a:prstGeom prst="rect">
                      <a:avLst/>
                    </a:prstGeom>
                    <a:noFill/>
                    <a:ln w="9525">
                      <a:noFill/>
                      <a:miter lim="800000"/>
                      <a:headEnd/>
                      <a:tailEnd/>
                    </a:ln>
                  </pic:spPr>
                </pic:pic>
              </a:graphicData>
            </a:graphic>
          </wp:inline>
        </w:drawing>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2020年10月，项目规划公告，整体由公园绿地、二类居住用地、商业用地及教育设施用地等构成，规划一所小学及一所幼儿园。</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noProof/>
          <w:color w:val="000000"/>
        </w:rPr>
        <w:lastRenderedPageBreak/>
        <w:drawing>
          <wp:inline distT="0" distB="0" distL="0" distR="0">
            <wp:extent cx="7320061" cy="5231690"/>
            <wp:effectExtent l="19050" t="0" r="0" b="0"/>
            <wp:docPr id="6" name="图片 6" descr="http://dongdong.szhomeimg.com/Article/Big/2021/05/0528073023875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ngdong.szhomeimg.com/Article/Big/2021/05/05280730238752327.JPG"/>
                    <pic:cNvPicPr>
                      <a:picLocks noChangeAspect="1" noChangeArrowheads="1"/>
                    </pic:cNvPicPr>
                  </pic:nvPicPr>
                  <pic:blipFill>
                    <a:blip r:embed="rId7" cstate="print"/>
                    <a:srcRect/>
                    <a:stretch>
                      <a:fillRect/>
                    </a:stretch>
                  </pic:blipFill>
                  <pic:spPr bwMode="auto">
                    <a:xfrm>
                      <a:off x="0" y="0"/>
                      <a:ext cx="7320061" cy="5231690"/>
                    </a:xfrm>
                    <a:prstGeom prst="rect">
                      <a:avLst/>
                    </a:prstGeom>
                    <a:noFill/>
                    <a:ln w="9525">
                      <a:noFill/>
                      <a:miter lim="800000"/>
                      <a:headEnd/>
                      <a:tailEnd/>
                    </a:ln>
                  </pic:spPr>
                </pic:pic>
              </a:graphicData>
            </a:graphic>
          </wp:inline>
        </w:drawing>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Style w:val="a6"/>
          <w:rFonts w:ascii="微软雅黑" w:eastAsia="微软雅黑" w:hAnsi="微软雅黑" w:hint="eastAsia"/>
          <w:color w:val="000000"/>
        </w:rPr>
        <w:t>02</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Style w:val="a6"/>
          <w:rFonts w:ascii="微软雅黑" w:eastAsia="微软雅黑" w:hAnsi="微软雅黑" w:hint="eastAsia"/>
          <w:color w:val="000000"/>
        </w:rPr>
        <w:t>项目资格预审及招标情况</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2021年5月12日，项目发布资格预审结果公告，深圳市威肯汇能房地产开发有限公司、御景（深圳）房地产开发集团有限公司、深圳冠利特房地产开发有限公司这3家公司已通过资格预审。</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noProof/>
          <w:color w:val="000000"/>
        </w:rPr>
        <w:lastRenderedPageBreak/>
        <w:drawing>
          <wp:inline distT="0" distB="0" distL="0" distR="0">
            <wp:extent cx="7686675" cy="2348706"/>
            <wp:effectExtent l="19050" t="0" r="9525" b="0"/>
            <wp:docPr id="7" name="图片 7" descr="http://dongdong.szhomeimg.com/Article/Big/2021/05/05280730241256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ngdong.szhomeimg.com/Article/Big/2021/05/05280730241256264.JPG"/>
                    <pic:cNvPicPr>
                      <a:picLocks noChangeAspect="1" noChangeArrowheads="1"/>
                    </pic:cNvPicPr>
                  </pic:nvPicPr>
                  <pic:blipFill>
                    <a:blip r:embed="rId8" cstate="print"/>
                    <a:srcRect/>
                    <a:stretch>
                      <a:fillRect/>
                    </a:stretch>
                  </pic:blipFill>
                  <pic:spPr bwMode="auto">
                    <a:xfrm>
                      <a:off x="0" y="0"/>
                      <a:ext cx="7686675" cy="2348706"/>
                    </a:xfrm>
                    <a:prstGeom prst="rect">
                      <a:avLst/>
                    </a:prstGeom>
                    <a:noFill/>
                    <a:ln w="9525">
                      <a:noFill/>
                      <a:miter lim="800000"/>
                      <a:headEnd/>
                      <a:tailEnd/>
                    </a:ln>
                  </pic:spPr>
                </pic:pic>
              </a:graphicData>
            </a:graphic>
          </wp:inline>
        </w:drawing>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2021年5月21日，项目发布招标公告，邀请通过资格预审的三家单位（深圳市威肯汇能房地产开发有限公司、御景（深圳）房地产开发集团有限公司、深圳冠利特房地产开发有限公司）参加投标。</w:t>
      </w: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p>
    <w:p w:rsidR="002A4A4B" w:rsidRDefault="002A4A4B" w:rsidP="002A4A4B">
      <w:pPr>
        <w:pStyle w:val="a4"/>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noProof/>
          <w:color w:val="000000"/>
        </w:rPr>
        <w:drawing>
          <wp:inline distT="0" distB="0" distL="0" distR="0">
            <wp:extent cx="5629275" cy="2161029"/>
            <wp:effectExtent l="19050" t="0" r="0" b="0"/>
            <wp:docPr id="8" name="图片 8" descr="http://dongdong.szhomeimg.com/Article/Big/2021/05/05280730243315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ngdong.szhomeimg.com/Article/Big/2021/05/05280730243315740.JPG"/>
                    <pic:cNvPicPr>
                      <a:picLocks noChangeAspect="1" noChangeArrowheads="1"/>
                    </pic:cNvPicPr>
                  </pic:nvPicPr>
                  <pic:blipFill>
                    <a:blip r:embed="rId9" cstate="print"/>
                    <a:srcRect/>
                    <a:stretch>
                      <a:fillRect/>
                    </a:stretch>
                  </pic:blipFill>
                  <pic:spPr bwMode="auto">
                    <a:xfrm>
                      <a:off x="0" y="0"/>
                      <a:ext cx="5630449" cy="2161480"/>
                    </a:xfrm>
                    <a:prstGeom prst="rect">
                      <a:avLst/>
                    </a:prstGeom>
                    <a:noFill/>
                    <a:ln w="9525">
                      <a:noFill/>
                      <a:miter lim="800000"/>
                      <a:headEnd/>
                      <a:tailEnd/>
                    </a:ln>
                  </pic:spPr>
                </pic:pic>
              </a:graphicData>
            </a:graphic>
          </wp:inline>
        </w:drawing>
      </w:r>
    </w:p>
    <w:p w:rsidR="002A4A4B" w:rsidRDefault="002A4A4B" w:rsidP="00D31D50">
      <w:pPr>
        <w:spacing w:line="220" w:lineRule="atLeast"/>
      </w:pPr>
    </w:p>
    <w:p w:rsidR="002A4A4B" w:rsidRDefault="002A4A4B" w:rsidP="00D31D50">
      <w:pPr>
        <w:spacing w:line="220" w:lineRule="atLeast"/>
        <w:rPr>
          <w:rFonts w:ascii="Segoe UI" w:hAnsi="Segoe UI" w:cs="Segoe UI"/>
          <w:color w:val="333333"/>
          <w:sz w:val="27"/>
          <w:szCs w:val="27"/>
        </w:rPr>
      </w:pPr>
      <w:r>
        <w:rPr>
          <w:rFonts w:ascii="Segoe UI" w:hAnsi="Segoe UI" w:cs="Segoe UI"/>
          <w:color w:val="333333"/>
          <w:sz w:val="27"/>
          <w:szCs w:val="27"/>
        </w:rPr>
        <w:t>截至</w:t>
      </w:r>
      <w:r>
        <w:rPr>
          <w:rFonts w:ascii="Segoe UI" w:hAnsi="Segoe UI" w:cs="Segoe UI"/>
          <w:color w:val="333333"/>
          <w:sz w:val="27"/>
          <w:szCs w:val="27"/>
        </w:rPr>
        <w:t>2023</w:t>
      </w:r>
      <w:r>
        <w:rPr>
          <w:rFonts w:ascii="Segoe UI" w:hAnsi="Segoe UI" w:cs="Segoe UI"/>
          <w:color w:val="333333"/>
          <w:sz w:val="27"/>
          <w:szCs w:val="27"/>
        </w:rPr>
        <w:t>年</w:t>
      </w:r>
      <w:r>
        <w:rPr>
          <w:rFonts w:ascii="Segoe UI" w:hAnsi="Segoe UI" w:cs="Segoe UI"/>
          <w:color w:val="333333"/>
          <w:sz w:val="27"/>
          <w:szCs w:val="27"/>
        </w:rPr>
        <w:t>6</w:t>
      </w:r>
      <w:r>
        <w:rPr>
          <w:rFonts w:ascii="Segoe UI" w:hAnsi="Segoe UI" w:cs="Segoe UI"/>
          <w:color w:val="333333"/>
          <w:sz w:val="27"/>
          <w:szCs w:val="27"/>
        </w:rPr>
        <w:t>月</w:t>
      </w:r>
      <w:r>
        <w:rPr>
          <w:rFonts w:ascii="Segoe UI" w:hAnsi="Segoe UI" w:cs="Segoe UI"/>
          <w:color w:val="333333"/>
          <w:sz w:val="27"/>
          <w:szCs w:val="27"/>
        </w:rPr>
        <w:t>11</w:t>
      </w:r>
      <w:r>
        <w:rPr>
          <w:rFonts w:ascii="Segoe UI" w:hAnsi="Segoe UI" w:cs="Segoe UI"/>
          <w:color w:val="333333"/>
          <w:sz w:val="27"/>
          <w:szCs w:val="27"/>
        </w:rPr>
        <w:t>日（周日），已列入城市更新计划项目</w:t>
      </w:r>
      <w:r>
        <w:rPr>
          <w:rFonts w:ascii="Segoe UI" w:hAnsi="Segoe UI" w:cs="Segoe UI"/>
          <w:color w:val="333333"/>
          <w:sz w:val="27"/>
          <w:szCs w:val="27"/>
        </w:rPr>
        <w:t>1016</w:t>
      </w:r>
      <w:r>
        <w:rPr>
          <w:rFonts w:ascii="Segoe UI" w:hAnsi="Segoe UI" w:cs="Segoe UI"/>
          <w:color w:val="333333"/>
          <w:sz w:val="27"/>
          <w:szCs w:val="27"/>
        </w:rPr>
        <w:t>个，拆除范围面积累计</w:t>
      </w:r>
      <w:r>
        <w:rPr>
          <w:rFonts w:ascii="Segoe UI" w:hAnsi="Segoe UI" w:cs="Segoe UI"/>
          <w:color w:val="333333"/>
          <w:sz w:val="27"/>
          <w:szCs w:val="27"/>
        </w:rPr>
        <w:t>8577.1h</w:t>
      </w:r>
      <w:r>
        <w:rPr>
          <w:rFonts w:ascii="宋体" w:eastAsia="宋体" w:hAnsi="宋体" w:cs="宋体" w:hint="eastAsia"/>
          <w:color w:val="333333"/>
          <w:sz w:val="27"/>
          <w:szCs w:val="27"/>
        </w:rPr>
        <w:t>㎡</w:t>
      </w:r>
      <w:r>
        <w:rPr>
          <w:rFonts w:ascii="微软雅黑" w:hAnsi="微软雅黑" w:cs="微软雅黑" w:hint="eastAsia"/>
          <w:color w:val="333333"/>
          <w:sz w:val="27"/>
          <w:szCs w:val="27"/>
        </w:rPr>
        <w:t>，已通过城市</w:t>
      </w:r>
      <w:r>
        <w:rPr>
          <w:rFonts w:ascii="Segoe UI" w:hAnsi="Segoe UI" w:cs="Segoe UI"/>
          <w:color w:val="333333"/>
          <w:sz w:val="27"/>
          <w:szCs w:val="27"/>
        </w:rPr>
        <w:t>更新专规批复项目</w:t>
      </w:r>
      <w:r>
        <w:rPr>
          <w:rFonts w:ascii="Segoe UI" w:hAnsi="Segoe UI" w:cs="Segoe UI"/>
          <w:color w:val="333333"/>
          <w:sz w:val="27"/>
          <w:szCs w:val="27"/>
        </w:rPr>
        <w:t>669</w:t>
      </w:r>
      <w:r>
        <w:rPr>
          <w:rFonts w:ascii="Segoe UI" w:hAnsi="Segoe UI" w:cs="Segoe UI"/>
          <w:color w:val="333333"/>
          <w:sz w:val="27"/>
          <w:szCs w:val="27"/>
        </w:rPr>
        <w:t>个，计容建筑面积累计</w:t>
      </w:r>
      <w:r>
        <w:rPr>
          <w:rFonts w:ascii="Segoe UI" w:hAnsi="Segoe UI" w:cs="Segoe UI"/>
          <w:color w:val="333333"/>
          <w:sz w:val="27"/>
          <w:szCs w:val="27"/>
        </w:rPr>
        <w:t>21304</w:t>
      </w:r>
      <w:r>
        <w:rPr>
          <w:rFonts w:ascii="宋体" w:eastAsia="宋体" w:hAnsi="宋体" w:cs="宋体" w:hint="eastAsia"/>
          <w:color w:val="333333"/>
          <w:sz w:val="27"/>
          <w:szCs w:val="27"/>
        </w:rPr>
        <w:t>㎡</w:t>
      </w:r>
      <w:r>
        <w:rPr>
          <w:rFonts w:ascii="微软雅黑" w:hAnsi="微软雅黑" w:cs="微软雅黑" w:hint="eastAsia"/>
          <w:color w:val="333333"/>
          <w:sz w:val="27"/>
          <w:szCs w:val="27"/>
        </w:rPr>
        <w:t>，按数量规划通过率</w:t>
      </w:r>
      <w:r>
        <w:rPr>
          <w:rFonts w:ascii="Segoe UI" w:hAnsi="Segoe UI" w:cs="Segoe UI"/>
          <w:color w:val="333333"/>
          <w:sz w:val="27"/>
          <w:szCs w:val="27"/>
        </w:rPr>
        <w:t>65.9%</w:t>
      </w:r>
      <w:r>
        <w:rPr>
          <w:rFonts w:ascii="Segoe UI" w:hAnsi="Segoe UI" w:cs="Segoe UI"/>
          <w:color w:val="333333"/>
          <w:sz w:val="27"/>
          <w:szCs w:val="27"/>
        </w:rPr>
        <w:t>，按规模规划通过率</w:t>
      </w:r>
      <w:r>
        <w:rPr>
          <w:rFonts w:ascii="Segoe UI" w:hAnsi="Segoe UI" w:cs="Segoe UI"/>
          <w:color w:val="333333"/>
          <w:sz w:val="27"/>
          <w:szCs w:val="27"/>
        </w:rPr>
        <w:t>63.1%</w:t>
      </w:r>
      <w:r>
        <w:rPr>
          <w:rFonts w:ascii="Segoe UI" w:hAnsi="Segoe UI" w:cs="Segoe UI"/>
          <w:color w:val="333333"/>
          <w:sz w:val="27"/>
          <w:szCs w:val="27"/>
        </w:rPr>
        <w:t>，实施主体公示项目</w:t>
      </w:r>
      <w:r>
        <w:rPr>
          <w:rFonts w:ascii="Segoe UI" w:hAnsi="Segoe UI" w:cs="Segoe UI"/>
          <w:color w:val="333333"/>
          <w:sz w:val="27"/>
          <w:szCs w:val="27"/>
        </w:rPr>
        <w:t>509</w:t>
      </w:r>
      <w:r>
        <w:rPr>
          <w:rFonts w:ascii="Segoe UI" w:hAnsi="Segoe UI" w:cs="Segoe UI"/>
          <w:color w:val="333333"/>
          <w:sz w:val="27"/>
          <w:szCs w:val="27"/>
        </w:rPr>
        <w:t>个，拆除范围面积累计</w:t>
      </w:r>
      <w:r>
        <w:rPr>
          <w:rFonts w:ascii="Segoe UI" w:hAnsi="Segoe UI" w:cs="Segoe UI"/>
          <w:color w:val="333333"/>
          <w:sz w:val="27"/>
          <w:szCs w:val="27"/>
        </w:rPr>
        <w:t>3271.9h</w:t>
      </w:r>
      <w:r>
        <w:rPr>
          <w:rFonts w:ascii="宋体" w:eastAsia="宋体" w:hAnsi="宋体" w:cs="宋体" w:hint="eastAsia"/>
          <w:color w:val="333333"/>
          <w:sz w:val="27"/>
          <w:szCs w:val="27"/>
        </w:rPr>
        <w:t>㎡</w:t>
      </w:r>
      <w:r>
        <w:rPr>
          <w:rFonts w:ascii="微软雅黑" w:hAnsi="微软雅黑" w:cs="微软雅黑" w:hint="eastAsia"/>
          <w:color w:val="333333"/>
          <w:sz w:val="27"/>
          <w:szCs w:val="27"/>
        </w:rPr>
        <w:t>，按数量计划实施率</w:t>
      </w:r>
      <w:r>
        <w:rPr>
          <w:rFonts w:ascii="Segoe UI" w:hAnsi="Segoe UI" w:cs="Segoe UI"/>
          <w:color w:val="333333"/>
          <w:sz w:val="27"/>
          <w:szCs w:val="27"/>
        </w:rPr>
        <w:t>50.1%</w:t>
      </w:r>
      <w:r>
        <w:rPr>
          <w:rFonts w:ascii="Segoe UI" w:hAnsi="Segoe UI" w:cs="Segoe UI"/>
          <w:color w:val="333333"/>
          <w:sz w:val="27"/>
          <w:szCs w:val="27"/>
        </w:rPr>
        <w:t>，按规模计划实施率</w:t>
      </w:r>
      <w:r>
        <w:rPr>
          <w:rFonts w:ascii="Segoe UI" w:hAnsi="Segoe UI" w:cs="Segoe UI"/>
          <w:color w:val="333333"/>
          <w:sz w:val="27"/>
          <w:szCs w:val="27"/>
        </w:rPr>
        <w:t>38.2%</w:t>
      </w:r>
      <w:r>
        <w:rPr>
          <w:rFonts w:ascii="Segoe UI" w:hAnsi="Segoe UI" w:cs="Segoe UI"/>
          <w:color w:val="333333"/>
          <w:sz w:val="27"/>
          <w:szCs w:val="27"/>
        </w:rPr>
        <w:t>。</w:t>
      </w:r>
    </w:p>
    <w:p w:rsidR="002A4A4B" w:rsidRDefault="002A4A4B" w:rsidP="00D31D50">
      <w:pPr>
        <w:spacing w:line="220" w:lineRule="atLeast"/>
        <w:rPr>
          <w:rFonts w:ascii="Segoe UI" w:hAnsi="Segoe UI" w:cs="Segoe UI"/>
          <w:color w:val="333333"/>
          <w:sz w:val="27"/>
          <w:szCs w:val="27"/>
        </w:rPr>
      </w:pPr>
      <w:r>
        <w:rPr>
          <w:rFonts w:ascii="Segoe UI" w:hAnsi="Segoe UI" w:cs="Segoe UI" w:hint="eastAsia"/>
          <w:color w:val="333333"/>
          <w:sz w:val="27"/>
          <w:szCs w:val="27"/>
        </w:rPr>
        <w:t>其中：</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Style w:val="a6"/>
          <w:rFonts w:ascii="Segoe UI" w:hAnsi="Segoe UI" w:cs="Segoe UI"/>
          <w:color w:val="333333"/>
          <w:sz w:val="27"/>
          <w:szCs w:val="27"/>
        </w:rPr>
        <w:t>宝安区石岩街道石岩冠利园城市更新单元权利人核实公告</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Style w:val="a6"/>
          <w:rFonts w:ascii="Segoe UI" w:hAnsi="Segoe UI" w:cs="Segoe UI"/>
          <w:color w:val="333333"/>
          <w:sz w:val="27"/>
          <w:szCs w:val="27"/>
        </w:rPr>
        <w:lastRenderedPageBreak/>
        <w:t>拟拆除范围用地面积：</w:t>
      </w:r>
      <w:r>
        <w:rPr>
          <w:rFonts w:ascii="Segoe UI" w:hAnsi="Segoe UI" w:cs="Segoe UI"/>
          <w:color w:val="333333"/>
          <w:sz w:val="27"/>
          <w:szCs w:val="27"/>
        </w:rPr>
        <w:t>61009.3</w:t>
      </w:r>
      <w:r>
        <w:rPr>
          <w:rFonts w:ascii="Segoe UI" w:hAnsi="Segoe UI" w:cs="Segoe UI"/>
          <w:color w:val="333333"/>
          <w:sz w:val="27"/>
          <w:szCs w:val="27"/>
        </w:rPr>
        <w:t>㎡</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Style w:val="a6"/>
          <w:rFonts w:ascii="Segoe UI" w:hAnsi="Segoe UI" w:cs="Segoe UI"/>
          <w:color w:val="333333"/>
          <w:sz w:val="27"/>
          <w:szCs w:val="27"/>
        </w:rPr>
        <w:t>规划容积率：</w:t>
      </w:r>
      <w:r>
        <w:rPr>
          <w:rFonts w:ascii="Segoe UI" w:hAnsi="Segoe UI" w:cs="Segoe UI"/>
          <w:color w:val="333333"/>
          <w:sz w:val="27"/>
          <w:szCs w:val="27"/>
        </w:rPr>
        <w:t>6.2 </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Style w:val="a6"/>
          <w:rFonts w:ascii="Segoe UI" w:hAnsi="Segoe UI" w:cs="Segoe UI"/>
          <w:color w:val="333333"/>
          <w:sz w:val="27"/>
          <w:szCs w:val="27"/>
        </w:rPr>
        <w:t>拟贡献率：</w:t>
      </w:r>
      <w:r>
        <w:rPr>
          <w:rFonts w:ascii="Segoe UI" w:hAnsi="Segoe UI" w:cs="Segoe UI"/>
          <w:color w:val="333333"/>
          <w:sz w:val="27"/>
          <w:szCs w:val="27"/>
        </w:rPr>
        <w:t>37.7%</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Style w:val="a6"/>
          <w:rFonts w:ascii="Segoe UI" w:hAnsi="Segoe UI" w:cs="Segoe UI"/>
          <w:color w:val="333333"/>
          <w:sz w:val="27"/>
          <w:szCs w:val="27"/>
        </w:rPr>
        <w:t>拟更新方向：</w:t>
      </w:r>
      <w:r>
        <w:rPr>
          <w:rFonts w:ascii="Segoe UI" w:hAnsi="Segoe UI" w:cs="Segoe UI"/>
          <w:color w:val="333333"/>
          <w:sz w:val="27"/>
          <w:szCs w:val="27"/>
        </w:rPr>
        <w:t>R2+C1</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Style w:val="a6"/>
          <w:rFonts w:ascii="Segoe UI" w:hAnsi="Segoe UI" w:cs="Segoe UI"/>
          <w:color w:val="333333"/>
          <w:sz w:val="27"/>
          <w:szCs w:val="27"/>
        </w:rPr>
        <w:t>申报主体：</w:t>
      </w:r>
      <w:r>
        <w:rPr>
          <w:rFonts w:ascii="Segoe UI" w:hAnsi="Segoe UI" w:cs="Segoe UI"/>
          <w:color w:val="333333"/>
          <w:sz w:val="27"/>
          <w:szCs w:val="27"/>
        </w:rPr>
        <w:t>深圳冠利达实业有限公司。</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Fonts w:ascii="Segoe UI" w:hAnsi="Segoe UI" w:cs="Segoe UI"/>
          <w:color w:val="333333"/>
          <w:sz w:val="27"/>
          <w:szCs w:val="27"/>
        </w:rPr>
        <w:t>深圳冠利达实业有限公司是综合性集团公司，旗下业务涉及多个板块（房地产、教育学校、香精香料、工业产品、海洋农业养殖、食品加工，快速消费品营销等），其中下属的香精香料公司为香港上市公司。另旗下的广东冠利海洋生物有限公司总投资三亿元，是广东省重点农业龙头企业，华南地区乃至全中国最大的海水虾类养殖企业。</w:t>
      </w:r>
    </w:p>
    <w:p w:rsidR="002A4A4B" w:rsidRDefault="002A4A4B" w:rsidP="002A4A4B">
      <w:pPr>
        <w:pStyle w:val="one-p"/>
        <w:spacing w:before="0" w:beforeAutospacing="0" w:after="450" w:afterAutospacing="0" w:line="510" w:lineRule="atLeast"/>
        <w:rPr>
          <w:rFonts w:ascii="Segoe UI" w:hAnsi="Segoe UI" w:cs="Segoe UI"/>
          <w:color w:val="333333"/>
          <w:sz w:val="27"/>
          <w:szCs w:val="27"/>
        </w:rPr>
      </w:pPr>
      <w:r>
        <w:rPr>
          <w:rFonts w:ascii="Segoe UI" w:hAnsi="Segoe UI" w:cs="Segoe UI"/>
          <w:noProof/>
          <w:color w:val="333333"/>
          <w:sz w:val="27"/>
          <w:szCs w:val="27"/>
        </w:rPr>
        <w:drawing>
          <wp:inline distT="0" distB="0" distL="0" distR="0">
            <wp:extent cx="6061710" cy="3788569"/>
            <wp:effectExtent l="19050" t="0" r="0" b="0"/>
            <wp:docPr id="15" name="图片 15" descr="https://inews.gtimg.com/om_bt/OzUkPypHTfHGp4pZnPb3E11NB5HuxN96nlpHUddUyPkPAAA/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news.gtimg.com/om_bt/OzUkPypHTfHGp4pZnPb3E11NB5HuxN96nlpHUddUyPkPAAA/1000"/>
                    <pic:cNvPicPr>
                      <a:picLocks noChangeAspect="1" noChangeArrowheads="1"/>
                    </pic:cNvPicPr>
                  </pic:nvPicPr>
                  <pic:blipFill>
                    <a:blip r:embed="rId10" cstate="print"/>
                    <a:srcRect/>
                    <a:stretch>
                      <a:fillRect/>
                    </a:stretch>
                  </pic:blipFill>
                  <pic:spPr bwMode="auto">
                    <a:xfrm>
                      <a:off x="0" y="0"/>
                      <a:ext cx="6064748" cy="3790468"/>
                    </a:xfrm>
                    <a:prstGeom prst="rect">
                      <a:avLst/>
                    </a:prstGeom>
                    <a:noFill/>
                    <a:ln w="9525">
                      <a:noFill/>
                      <a:miter lim="800000"/>
                      <a:headEnd/>
                      <a:tailEnd/>
                    </a:ln>
                  </pic:spPr>
                </pic:pic>
              </a:graphicData>
            </a:graphic>
          </wp:inline>
        </w:drawing>
      </w:r>
    </w:p>
    <w:p w:rsidR="002A4A4B" w:rsidRDefault="003B006F" w:rsidP="00D31D50">
      <w:pPr>
        <w:spacing w:line="220" w:lineRule="atLeast"/>
      </w:pPr>
      <w:r>
        <w:rPr>
          <w:rFonts w:hint="eastAsia"/>
        </w:rPr>
        <w:lastRenderedPageBreak/>
        <w:t>二、项目现状</w:t>
      </w:r>
    </w:p>
    <w:p w:rsidR="003B006F" w:rsidRDefault="003B006F" w:rsidP="005C4724">
      <w:pPr>
        <w:spacing w:line="220" w:lineRule="atLeast"/>
        <w:ind w:firstLineChars="200" w:firstLine="440"/>
      </w:pPr>
      <w:r>
        <w:rPr>
          <w:rFonts w:hint="eastAsia"/>
        </w:rPr>
        <w:t>目前该地块共有</w:t>
      </w:r>
      <w:r>
        <w:rPr>
          <w:rFonts w:hint="eastAsia"/>
        </w:rPr>
        <w:t>18</w:t>
      </w:r>
      <w:r>
        <w:rPr>
          <w:rFonts w:hint="eastAsia"/>
        </w:rPr>
        <w:t>栋厂房，均已办理不动产权证，</w:t>
      </w:r>
      <w:r w:rsidR="005C4724">
        <w:rPr>
          <w:rFonts w:hint="eastAsia"/>
        </w:rPr>
        <w:t>土地使用证性质是工业用地。冠利达实业公司名下拥有</w:t>
      </w:r>
      <w:r w:rsidR="005C4724">
        <w:rPr>
          <w:rFonts w:hint="eastAsia"/>
        </w:rPr>
        <w:t>16</w:t>
      </w:r>
      <w:r w:rsidR="005C4724">
        <w:rPr>
          <w:rFonts w:hint="eastAsia"/>
        </w:rPr>
        <w:t>栋厂房，另外</w:t>
      </w:r>
      <w:r w:rsidR="005C4724">
        <w:rPr>
          <w:rFonts w:hint="eastAsia"/>
        </w:rPr>
        <w:t>2</w:t>
      </w:r>
      <w:r w:rsidR="005C4724">
        <w:rPr>
          <w:rFonts w:hint="eastAsia"/>
        </w:rPr>
        <w:t>栋厂房在他人手上，其中一栋是粤海置地公司名下，已于</w:t>
      </w:r>
      <w:r w:rsidR="005C4724">
        <w:rPr>
          <w:rFonts w:hint="eastAsia"/>
        </w:rPr>
        <w:t>2022</w:t>
      </w:r>
      <w:r w:rsidR="005C4724">
        <w:rPr>
          <w:rFonts w:hint="eastAsia"/>
        </w:rPr>
        <w:t>年</w:t>
      </w:r>
      <w:r w:rsidR="005C4724">
        <w:rPr>
          <w:rFonts w:hint="eastAsia"/>
        </w:rPr>
        <w:t>9</w:t>
      </w:r>
      <w:r w:rsidR="005C4724">
        <w:rPr>
          <w:rFonts w:hint="eastAsia"/>
        </w:rPr>
        <w:t>月</w:t>
      </w:r>
      <w:r w:rsidR="005C4724">
        <w:rPr>
          <w:rFonts w:hint="eastAsia"/>
        </w:rPr>
        <w:t>1</w:t>
      </w:r>
      <w:r w:rsidR="005C4724">
        <w:rPr>
          <w:rFonts w:hint="eastAsia"/>
        </w:rPr>
        <w:t>日与该公司签订搬迁补偿协议，另一栋厂房也与其签订搬迁意向协议。冠利达实业公司已实际取得该地块的开发权。</w:t>
      </w:r>
    </w:p>
    <w:p w:rsidR="005C4724" w:rsidRDefault="005C4724" w:rsidP="00D31D50">
      <w:pPr>
        <w:spacing w:line="220" w:lineRule="atLeast"/>
        <w:rPr>
          <w:rFonts w:hint="eastAsia"/>
        </w:rPr>
      </w:pPr>
      <w:r>
        <w:rPr>
          <w:rFonts w:hint="eastAsia"/>
        </w:rPr>
        <w:t xml:space="preserve">      </w:t>
      </w:r>
      <w:r>
        <w:rPr>
          <w:rFonts w:hint="eastAsia"/>
        </w:rPr>
        <w:t>目前需要补地价，变更用途为商住用地，预计</w:t>
      </w:r>
      <w:r w:rsidR="00916221">
        <w:rPr>
          <w:rFonts w:hint="eastAsia"/>
        </w:rPr>
        <w:t>补地价</w:t>
      </w:r>
      <w:r>
        <w:rPr>
          <w:rFonts w:hint="eastAsia"/>
        </w:rPr>
        <w:t>费用</w:t>
      </w:r>
      <w:r>
        <w:rPr>
          <w:rFonts w:hint="eastAsia"/>
        </w:rPr>
        <w:t>12</w:t>
      </w:r>
      <w:r>
        <w:rPr>
          <w:rFonts w:hint="eastAsia"/>
        </w:rPr>
        <w:t>亿元，即可动工开发。</w:t>
      </w:r>
    </w:p>
    <w:p w:rsidR="00747EBF" w:rsidRDefault="00747EBF" w:rsidP="00747EBF">
      <w:pPr>
        <w:spacing w:line="220" w:lineRule="atLeast"/>
        <w:ind w:firstLineChars="200" w:firstLine="440"/>
        <w:rPr>
          <w:rFonts w:hint="eastAsia"/>
        </w:rPr>
      </w:pPr>
      <w:r>
        <w:rPr>
          <w:rFonts w:ascii="微软雅黑" w:hAnsi="微软雅黑" w:hint="eastAsia"/>
          <w:color w:val="000000"/>
        </w:rPr>
        <w:t>建成后：其中住宅158735</w:t>
      </w:r>
      <w:r>
        <w:rPr>
          <w:rFonts w:hint="eastAsia"/>
          <w:color w:val="000000"/>
        </w:rPr>
        <w:t>㎡</w:t>
      </w:r>
      <w:r>
        <w:rPr>
          <w:rFonts w:ascii="微软雅黑" w:hAnsi="微软雅黑" w:cs="微软雅黑" w:hint="eastAsia"/>
          <w:color w:val="000000"/>
        </w:rPr>
        <w:t>（含保障性住房</w:t>
      </w:r>
      <w:r>
        <w:rPr>
          <w:rFonts w:ascii="微软雅黑" w:hAnsi="微软雅黑" w:hint="eastAsia"/>
          <w:color w:val="000000"/>
        </w:rPr>
        <w:t>44320</w:t>
      </w:r>
      <w:r>
        <w:rPr>
          <w:rFonts w:hint="eastAsia"/>
          <w:color w:val="000000"/>
        </w:rPr>
        <w:t>㎡</w:t>
      </w:r>
      <w:r>
        <w:rPr>
          <w:rFonts w:ascii="微软雅黑" w:hAnsi="微软雅黑" w:cs="微软雅黑" w:hint="eastAsia"/>
          <w:color w:val="000000"/>
        </w:rPr>
        <w:t>），商业、办公及旅馆业建筑</w:t>
      </w:r>
      <w:r>
        <w:rPr>
          <w:rFonts w:ascii="微软雅黑" w:hAnsi="微软雅黑" w:hint="eastAsia"/>
          <w:color w:val="000000"/>
        </w:rPr>
        <w:t>61169</w:t>
      </w:r>
      <w:r>
        <w:rPr>
          <w:rFonts w:hint="eastAsia"/>
          <w:color w:val="000000"/>
        </w:rPr>
        <w:t>㎡</w:t>
      </w:r>
      <w:r>
        <w:rPr>
          <w:rFonts w:ascii="微软雅黑" w:hAnsi="微软雅黑" w:cs="微软雅黑" w:hint="eastAsia"/>
          <w:color w:val="000000"/>
        </w:rPr>
        <w:t>（含酒店</w:t>
      </w:r>
      <w:r>
        <w:rPr>
          <w:rFonts w:ascii="微软雅黑" w:hAnsi="微软雅黑" w:hint="eastAsia"/>
          <w:color w:val="000000"/>
        </w:rPr>
        <w:t>20000</w:t>
      </w:r>
      <w:r>
        <w:rPr>
          <w:rFonts w:hint="eastAsia"/>
          <w:color w:val="000000"/>
        </w:rPr>
        <w:t>㎡</w:t>
      </w:r>
      <w:r>
        <w:rPr>
          <w:rFonts w:ascii="微软雅黑" w:hAnsi="微软雅黑" w:cs="微软雅黑" w:hint="eastAsia"/>
          <w:color w:val="000000"/>
        </w:rPr>
        <w:t>）</w:t>
      </w:r>
    </w:p>
    <w:p w:rsidR="00747EBF" w:rsidRDefault="00747EBF" w:rsidP="00D31D50">
      <w:pPr>
        <w:spacing w:line="220" w:lineRule="atLeast"/>
        <w:rPr>
          <w:rFonts w:hint="eastAsia"/>
        </w:rPr>
      </w:pPr>
      <w:r>
        <w:rPr>
          <w:rFonts w:hint="eastAsia"/>
        </w:rPr>
        <w:t xml:space="preserve">      </w:t>
      </w:r>
      <w:r>
        <w:rPr>
          <w:rFonts w:hint="eastAsia"/>
        </w:rPr>
        <w:t>目前该区域住房政府限价</w:t>
      </w:r>
      <w:r>
        <w:rPr>
          <w:rFonts w:hint="eastAsia"/>
        </w:rPr>
        <w:t>5.2</w:t>
      </w:r>
      <w:r>
        <w:rPr>
          <w:rFonts w:hint="eastAsia"/>
        </w:rPr>
        <w:t>万元</w:t>
      </w:r>
      <w:r>
        <w:rPr>
          <w:rFonts w:hint="eastAsia"/>
        </w:rPr>
        <w:t>/</w:t>
      </w:r>
      <w:r>
        <w:rPr>
          <w:rFonts w:hint="eastAsia"/>
        </w:rPr>
        <w:t>平方米。保守估算，开发后预计售价</w:t>
      </w:r>
      <w:r>
        <w:rPr>
          <w:rFonts w:hint="eastAsia"/>
        </w:rPr>
        <w:t>4.5</w:t>
      </w:r>
      <w:r>
        <w:rPr>
          <w:rFonts w:hint="eastAsia"/>
        </w:rPr>
        <w:t>万元</w:t>
      </w:r>
      <w:r>
        <w:rPr>
          <w:rFonts w:hint="eastAsia"/>
        </w:rPr>
        <w:t>/</w:t>
      </w:r>
      <w:r>
        <w:rPr>
          <w:rFonts w:hint="eastAsia"/>
        </w:rPr>
        <w:t>平米。实际可以销售住房面积</w:t>
      </w:r>
      <w:r>
        <w:rPr>
          <w:rFonts w:hint="eastAsia"/>
        </w:rPr>
        <w:t>114415</w:t>
      </w:r>
      <w:r>
        <w:rPr>
          <w:rFonts w:hint="eastAsia"/>
        </w:rPr>
        <w:t>平发米，销售额约</w:t>
      </w:r>
      <w:r>
        <w:rPr>
          <w:rFonts w:hint="eastAsia"/>
        </w:rPr>
        <w:t>51.5</w:t>
      </w:r>
      <w:r>
        <w:rPr>
          <w:rFonts w:hint="eastAsia"/>
        </w:rPr>
        <w:t>亿元；可销售商业房产面积</w:t>
      </w:r>
      <w:r>
        <w:rPr>
          <w:rFonts w:hint="eastAsia"/>
        </w:rPr>
        <w:t>61169</w:t>
      </w:r>
      <w:r>
        <w:rPr>
          <w:rFonts w:hint="eastAsia"/>
        </w:rPr>
        <w:t>平方米，预计售价</w:t>
      </w:r>
      <w:r>
        <w:rPr>
          <w:rFonts w:hint="eastAsia"/>
        </w:rPr>
        <w:t>2.5</w:t>
      </w:r>
      <w:r>
        <w:rPr>
          <w:rFonts w:hint="eastAsia"/>
        </w:rPr>
        <w:t>万元</w:t>
      </w:r>
      <w:r>
        <w:rPr>
          <w:rFonts w:hint="eastAsia"/>
        </w:rPr>
        <w:t>/</w:t>
      </w:r>
      <w:r>
        <w:rPr>
          <w:rFonts w:hint="eastAsia"/>
        </w:rPr>
        <w:t>平方米，销售额约</w:t>
      </w:r>
      <w:r>
        <w:rPr>
          <w:rFonts w:hint="eastAsia"/>
        </w:rPr>
        <w:t>15</w:t>
      </w:r>
      <w:r>
        <w:rPr>
          <w:rFonts w:hint="eastAsia"/>
        </w:rPr>
        <w:t>亿元；预计车位销售约</w:t>
      </w:r>
      <w:r>
        <w:rPr>
          <w:rFonts w:hint="eastAsia"/>
        </w:rPr>
        <w:t>5000</w:t>
      </w:r>
      <w:r>
        <w:rPr>
          <w:rFonts w:hint="eastAsia"/>
        </w:rPr>
        <w:t>万元。</w:t>
      </w:r>
      <w:r w:rsidR="00916221">
        <w:rPr>
          <w:rFonts w:hint="eastAsia"/>
        </w:rPr>
        <w:t>楼盘整体销售额约</w:t>
      </w:r>
      <w:r w:rsidR="00916221">
        <w:rPr>
          <w:rFonts w:hint="eastAsia"/>
        </w:rPr>
        <w:t>67</w:t>
      </w:r>
      <w:r w:rsidR="00916221">
        <w:rPr>
          <w:rFonts w:hint="eastAsia"/>
        </w:rPr>
        <w:t>亿元。</w:t>
      </w:r>
    </w:p>
    <w:p w:rsidR="00916221" w:rsidRDefault="00916221" w:rsidP="00D31D50">
      <w:pPr>
        <w:spacing w:line="220" w:lineRule="atLeast"/>
      </w:pPr>
      <w:r>
        <w:rPr>
          <w:rFonts w:hint="eastAsia"/>
        </w:rPr>
        <w:t xml:space="preserve">      </w:t>
      </w:r>
      <w:r>
        <w:rPr>
          <w:rFonts w:hint="eastAsia"/>
        </w:rPr>
        <w:t>楼盘整体开发面积约</w:t>
      </w:r>
      <w:r>
        <w:rPr>
          <w:rFonts w:hint="eastAsia"/>
        </w:rPr>
        <w:t>23.48</w:t>
      </w:r>
      <w:r>
        <w:rPr>
          <w:rFonts w:hint="eastAsia"/>
        </w:rPr>
        <w:t>万平方米，按照</w:t>
      </w:r>
      <w:r>
        <w:rPr>
          <w:rFonts w:hint="eastAsia"/>
        </w:rPr>
        <w:t>5000</w:t>
      </w:r>
      <w:r>
        <w:rPr>
          <w:rFonts w:hint="eastAsia"/>
        </w:rPr>
        <w:t>元</w:t>
      </w:r>
      <w:r>
        <w:rPr>
          <w:rFonts w:hint="eastAsia"/>
        </w:rPr>
        <w:t>/</w:t>
      </w:r>
      <w:r>
        <w:rPr>
          <w:rFonts w:hint="eastAsia"/>
        </w:rPr>
        <w:t>平方米的建筑成本，工程款约</w:t>
      </w:r>
      <w:r>
        <w:rPr>
          <w:rFonts w:hint="eastAsia"/>
        </w:rPr>
        <w:t>12</w:t>
      </w:r>
      <w:r>
        <w:rPr>
          <w:rFonts w:hint="eastAsia"/>
        </w:rPr>
        <w:t>亿元，加上补地价的</w:t>
      </w:r>
      <w:r>
        <w:rPr>
          <w:rFonts w:hint="eastAsia"/>
        </w:rPr>
        <w:t>12</w:t>
      </w:r>
      <w:r>
        <w:rPr>
          <w:rFonts w:hint="eastAsia"/>
        </w:rPr>
        <w:t>亿元，整体开发成本约</w:t>
      </w:r>
      <w:r>
        <w:rPr>
          <w:rFonts w:hint="eastAsia"/>
        </w:rPr>
        <w:t>24</w:t>
      </w:r>
      <w:r>
        <w:rPr>
          <w:rFonts w:hint="eastAsia"/>
        </w:rPr>
        <w:t>亿元。</w:t>
      </w:r>
    </w:p>
    <w:p w:rsidR="003B006F" w:rsidRDefault="003B006F" w:rsidP="00D31D50">
      <w:pPr>
        <w:spacing w:line="220" w:lineRule="atLeast"/>
      </w:pPr>
    </w:p>
    <w:p w:rsidR="003B006F" w:rsidRDefault="003B006F" w:rsidP="00D31D50">
      <w:pPr>
        <w:spacing w:line="220" w:lineRule="atLeast"/>
      </w:pPr>
    </w:p>
    <w:sectPr w:rsidR="003B006F"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129AA"/>
    <w:rsid w:val="00286D1C"/>
    <w:rsid w:val="002A4A4B"/>
    <w:rsid w:val="00323B43"/>
    <w:rsid w:val="003B006F"/>
    <w:rsid w:val="003D37D8"/>
    <w:rsid w:val="00426133"/>
    <w:rsid w:val="004358AB"/>
    <w:rsid w:val="005C4724"/>
    <w:rsid w:val="007234C1"/>
    <w:rsid w:val="00747EBF"/>
    <w:rsid w:val="008B7726"/>
    <w:rsid w:val="00916221"/>
    <w:rsid w:val="00A6557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4A4B"/>
    <w:rPr>
      <w:color w:val="0000FF"/>
      <w:u w:val="single"/>
    </w:rPr>
  </w:style>
  <w:style w:type="paragraph" w:styleId="a4">
    <w:name w:val="Normal (Web)"/>
    <w:basedOn w:val="a"/>
    <w:uiPriority w:val="99"/>
    <w:semiHidden/>
    <w:unhideWhenUsed/>
    <w:rsid w:val="002A4A4B"/>
    <w:pPr>
      <w:adjustRightInd/>
      <w:snapToGrid/>
      <w:spacing w:before="100" w:beforeAutospacing="1" w:after="100" w:afterAutospacing="1"/>
    </w:pPr>
    <w:rPr>
      <w:rFonts w:ascii="宋体" w:eastAsia="宋体" w:hAnsi="宋体" w:cs="宋体"/>
      <w:sz w:val="24"/>
      <w:szCs w:val="24"/>
    </w:rPr>
  </w:style>
  <w:style w:type="paragraph" w:styleId="a5">
    <w:name w:val="Balloon Text"/>
    <w:basedOn w:val="a"/>
    <w:link w:val="Char"/>
    <w:uiPriority w:val="99"/>
    <w:semiHidden/>
    <w:unhideWhenUsed/>
    <w:rsid w:val="002A4A4B"/>
    <w:pPr>
      <w:spacing w:after="0"/>
    </w:pPr>
    <w:rPr>
      <w:sz w:val="18"/>
      <w:szCs w:val="18"/>
    </w:rPr>
  </w:style>
  <w:style w:type="character" w:customStyle="1" w:styleId="Char">
    <w:name w:val="批注框文本 Char"/>
    <w:basedOn w:val="a0"/>
    <w:link w:val="a5"/>
    <w:uiPriority w:val="99"/>
    <w:semiHidden/>
    <w:rsid w:val="002A4A4B"/>
    <w:rPr>
      <w:rFonts w:ascii="Tahoma" w:hAnsi="Tahoma"/>
      <w:sz w:val="18"/>
      <w:szCs w:val="18"/>
    </w:rPr>
  </w:style>
  <w:style w:type="character" w:styleId="a6">
    <w:name w:val="Strong"/>
    <w:basedOn w:val="a0"/>
    <w:uiPriority w:val="22"/>
    <w:qFormat/>
    <w:rsid w:val="002A4A4B"/>
    <w:rPr>
      <w:b/>
      <w:bCs/>
    </w:rPr>
  </w:style>
  <w:style w:type="paragraph" w:customStyle="1" w:styleId="one-p">
    <w:name w:val="one-p"/>
    <w:basedOn w:val="a"/>
    <w:rsid w:val="002A4A4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39841359">
      <w:bodyDiv w:val="1"/>
      <w:marLeft w:val="0"/>
      <w:marRight w:val="0"/>
      <w:marTop w:val="0"/>
      <w:marBottom w:val="0"/>
      <w:divBdr>
        <w:top w:val="none" w:sz="0" w:space="0" w:color="auto"/>
        <w:left w:val="none" w:sz="0" w:space="0" w:color="auto"/>
        <w:bottom w:val="none" w:sz="0" w:space="0" w:color="auto"/>
        <w:right w:val="none" w:sz="0" w:space="0" w:color="auto"/>
      </w:divBdr>
    </w:div>
    <w:div w:id="462887953">
      <w:bodyDiv w:val="1"/>
      <w:marLeft w:val="0"/>
      <w:marRight w:val="0"/>
      <w:marTop w:val="0"/>
      <w:marBottom w:val="0"/>
      <w:divBdr>
        <w:top w:val="none" w:sz="0" w:space="0" w:color="auto"/>
        <w:left w:val="none" w:sz="0" w:space="0" w:color="auto"/>
        <w:bottom w:val="none" w:sz="0" w:space="0" w:color="auto"/>
        <w:right w:val="none" w:sz="0" w:space="0" w:color="auto"/>
      </w:divBdr>
    </w:div>
    <w:div w:id="7118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2023-07-20T15:29:00Z</dcterms:modified>
</cp:coreProperties>
</file>