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B443E" w14:textId="77777777" w:rsidR="007B4604" w:rsidRDefault="00F75976" w:rsidP="007B4604">
      <w:pPr>
        <w:spacing w:line="360" w:lineRule="auto"/>
        <w:jc w:val="center"/>
        <w:rPr>
          <w:rFonts w:ascii="Times New Roman" w:hAnsi="Times New Roman" w:cs="Times New Roman"/>
          <w:b/>
          <w:bCs/>
          <w:sz w:val="24"/>
          <w:szCs w:val="28"/>
        </w:rPr>
      </w:pPr>
      <w:r w:rsidRPr="007B4604">
        <w:rPr>
          <w:rFonts w:ascii="Times New Roman" w:hAnsi="Times New Roman" w:cs="Times New Roman"/>
          <w:b/>
          <w:bCs/>
          <w:sz w:val="24"/>
          <w:szCs w:val="28"/>
        </w:rPr>
        <w:t>关于《北京市第一中级人民法院受理的融资租赁合同纠纷案涉及的北京天翼生物工程有限公司享有的土地承包权及相应地上物价值资产评估报告》</w:t>
      </w:r>
    </w:p>
    <w:p w14:paraId="756E3967" w14:textId="209D0BD2" w:rsidR="007B4604" w:rsidRDefault="00F75976" w:rsidP="007B4604">
      <w:pPr>
        <w:spacing w:line="360" w:lineRule="auto"/>
        <w:jc w:val="center"/>
        <w:rPr>
          <w:rFonts w:ascii="Times New Roman" w:hAnsi="Times New Roman" w:cs="Times New Roman"/>
          <w:b/>
          <w:bCs/>
          <w:sz w:val="24"/>
          <w:szCs w:val="28"/>
        </w:rPr>
      </w:pPr>
      <w:r w:rsidRPr="007B4604">
        <w:rPr>
          <w:rFonts w:ascii="Times New Roman" w:hAnsi="Times New Roman" w:cs="Times New Roman"/>
          <w:b/>
          <w:bCs/>
          <w:sz w:val="24"/>
          <w:szCs w:val="28"/>
        </w:rPr>
        <w:t>（国专中衡评报字【</w:t>
      </w:r>
      <w:r w:rsidRPr="007B4604">
        <w:rPr>
          <w:rFonts w:ascii="Times New Roman" w:hAnsi="Times New Roman" w:cs="Times New Roman"/>
          <w:b/>
          <w:bCs/>
          <w:sz w:val="24"/>
          <w:szCs w:val="28"/>
        </w:rPr>
        <w:t>2019</w:t>
      </w:r>
      <w:r w:rsidRPr="007B4604">
        <w:rPr>
          <w:rFonts w:ascii="Times New Roman" w:hAnsi="Times New Roman" w:cs="Times New Roman"/>
          <w:b/>
          <w:bCs/>
          <w:sz w:val="24"/>
          <w:szCs w:val="28"/>
        </w:rPr>
        <w:t>】第</w:t>
      </w:r>
      <w:r w:rsidRPr="007B4604">
        <w:rPr>
          <w:rFonts w:ascii="Times New Roman" w:hAnsi="Times New Roman" w:cs="Times New Roman"/>
          <w:b/>
          <w:bCs/>
          <w:sz w:val="24"/>
          <w:szCs w:val="28"/>
        </w:rPr>
        <w:t>007</w:t>
      </w:r>
      <w:r w:rsidRPr="007B4604">
        <w:rPr>
          <w:rFonts w:ascii="Times New Roman" w:hAnsi="Times New Roman" w:cs="Times New Roman"/>
          <w:b/>
          <w:bCs/>
          <w:sz w:val="24"/>
          <w:szCs w:val="28"/>
        </w:rPr>
        <w:t>号）</w:t>
      </w:r>
    </w:p>
    <w:p w14:paraId="3384E61C" w14:textId="365119E2" w:rsidR="00F75976" w:rsidRPr="007B4604" w:rsidRDefault="00F75976" w:rsidP="007B4604">
      <w:pPr>
        <w:spacing w:line="360" w:lineRule="auto"/>
        <w:jc w:val="center"/>
        <w:rPr>
          <w:rFonts w:ascii="Times New Roman" w:hAnsi="Times New Roman" w:cs="Times New Roman"/>
          <w:b/>
          <w:bCs/>
          <w:sz w:val="28"/>
          <w:szCs w:val="32"/>
        </w:rPr>
      </w:pPr>
      <w:r w:rsidRPr="007B4604">
        <w:rPr>
          <w:rFonts w:ascii="Times New Roman" w:hAnsi="Times New Roman" w:cs="Times New Roman"/>
          <w:b/>
          <w:bCs/>
          <w:sz w:val="28"/>
          <w:szCs w:val="32"/>
        </w:rPr>
        <w:t>评估结果</w:t>
      </w:r>
      <w:r w:rsidR="00D20ADA">
        <w:rPr>
          <w:rFonts w:ascii="Times New Roman" w:hAnsi="Times New Roman" w:cs="Times New Roman" w:hint="eastAsia"/>
          <w:b/>
          <w:bCs/>
          <w:sz w:val="28"/>
          <w:szCs w:val="32"/>
        </w:rPr>
        <w:t>调整</w:t>
      </w:r>
      <w:r w:rsidRPr="007B4604">
        <w:rPr>
          <w:rFonts w:ascii="Times New Roman" w:hAnsi="Times New Roman" w:cs="Times New Roman"/>
          <w:b/>
          <w:bCs/>
          <w:sz w:val="28"/>
          <w:szCs w:val="32"/>
        </w:rPr>
        <w:t>补充说明</w:t>
      </w:r>
    </w:p>
    <w:p w14:paraId="7ADC6AA6" w14:textId="266A6E2A" w:rsidR="00F75976" w:rsidRDefault="00F75976" w:rsidP="00F75976">
      <w:pPr>
        <w:spacing w:line="360" w:lineRule="auto"/>
        <w:rPr>
          <w:rFonts w:ascii="Times New Roman" w:hAnsi="Times New Roman" w:cs="Times New Roman"/>
          <w:b/>
          <w:bCs/>
          <w:sz w:val="24"/>
          <w:szCs w:val="28"/>
        </w:rPr>
      </w:pPr>
      <w:r>
        <w:rPr>
          <w:rFonts w:ascii="Times New Roman" w:hAnsi="Times New Roman" w:cs="Times New Roman" w:hint="eastAsia"/>
          <w:b/>
          <w:bCs/>
          <w:sz w:val="24"/>
          <w:szCs w:val="28"/>
        </w:rPr>
        <w:t>调整事项如下：</w:t>
      </w:r>
    </w:p>
    <w:p w14:paraId="0223B429" w14:textId="77829933" w:rsidR="00F75976" w:rsidRPr="002B5315" w:rsidRDefault="002B5315" w:rsidP="00F75976">
      <w:pPr>
        <w:spacing w:line="360" w:lineRule="auto"/>
        <w:ind w:firstLineChars="200" w:firstLine="482"/>
        <w:rPr>
          <w:rFonts w:ascii="Times New Roman" w:hAnsi="Times New Roman" w:cs="Times New Roman"/>
          <w:b/>
          <w:bCs/>
          <w:sz w:val="24"/>
          <w:szCs w:val="28"/>
        </w:rPr>
      </w:pPr>
      <w:r w:rsidRPr="002B5315">
        <w:rPr>
          <w:rFonts w:ascii="Times New Roman" w:hAnsi="Times New Roman" w:cs="Times New Roman" w:hint="eastAsia"/>
          <w:b/>
          <w:bCs/>
          <w:sz w:val="24"/>
          <w:szCs w:val="28"/>
        </w:rPr>
        <w:t>一、</w:t>
      </w:r>
      <w:r w:rsidR="00C6246C" w:rsidRPr="002B5315">
        <w:rPr>
          <w:rFonts w:ascii="Times New Roman" w:hAnsi="Times New Roman" w:cs="Times New Roman" w:hint="eastAsia"/>
          <w:b/>
          <w:bCs/>
          <w:sz w:val="24"/>
          <w:szCs w:val="28"/>
        </w:rPr>
        <w:t>关于评估基准日</w:t>
      </w:r>
      <w:r w:rsidR="00C46104" w:rsidRPr="002B5315">
        <w:rPr>
          <w:rFonts w:ascii="Times New Roman" w:hAnsi="Times New Roman" w:cs="Times New Roman" w:hint="eastAsia"/>
          <w:b/>
          <w:bCs/>
          <w:sz w:val="24"/>
          <w:szCs w:val="28"/>
        </w:rPr>
        <w:t>之后</w:t>
      </w:r>
      <w:r w:rsidR="00C6246C" w:rsidRPr="002B5315">
        <w:rPr>
          <w:rFonts w:ascii="Times New Roman" w:hAnsi="Times New Roman" w:cs="Times New Roman" w:hint="eastAsia"/>
          <w:b/>
          <w:bCs/>
          <w:sz w:val="24"/>
          <w:szCs w:val="28"/>
        </w:rPr>
        <w:t>北京天翼生物工程有限公司纳入评估范围内的大棚存在坍塌的情况</w:t>
      </w:r>
    </w:p>
    <w:p w14:paraId="2D646D43" w14:textId="2857368B" w:rsidR="00C6246C" w:rsidRDefault="00C6246C" w:rsidP="00F75976">
      <w:pPr>
        <w:spacing w:line="360" w:lineRule="auto"/>
        <w:ind w:firstLineChars="200" w:firstLine="480"/>
        <w:rPr>
          <w:rFonts w:ascii="Times New Roman" w:hAnsi="Times New Roman" w:cs="Times New Roman"/>
          <w:sz w:val="24"/>
          <w:szCs w:val="28"/>
        </w:rPr>
      </w:pPr>
      <w:r>
        <w:rPr>
          <w:rFonts w:ascii="Times New Roman" w:hAnsi="Times New Roman" w:cs="Times New Roman" w:hint="eastAsia"/>
          <w:sz w:val="24"/>
          <w:szCs w:val="28"/>
        </w:rPr>
        <w:t>调整说明：</w:t>
      </w:r>
      <w:r w:rsidR="00C46104">
        <w:rPr>
          <w:rFonts w:ascii="Times New Roman" w:hAnsi="Times New Roman" w:cs="Times New Roman" w:hint="eastAsia"/>
          <w:sz w:val="24"/>
          <w:szCs w:val="28"/>
        </w:rPr>
        <w:t>对于</w:t>
      </w:r>
      <w:r w:rsidR="00C46104" w:rsidRPr="00C46104">
        <w:rPr>
          <w:rFonts w:ascii="Times New Roman" w:hAnsi="Times New Roman" w:cs="Times New Roman" w:hint="eastAsia"/>
          <w:sz w:val="24"/>
          <w:szCs w:val="28"/>
        </w:rPr>
        <w:t>评估基准日之后北京天翼生物工程有限公司纳入评估范围内的大棚存在坍塌的情况</w:t>
      </w:r>
      <w:r w:rsidR="00C46104">
        <w:rPr>
          <w:rFonts w:ascii="Times New Roman" w:hAnsi="Times New Roman" w:cs="Times New Roman" w:hint="eastAsia"/>
          <w:sz w:val="24"/>
          <w:szCs w:val="28"/>
        </w:rPr>
        <w:t>，于</w:t>
      </w:r>
      <w:r w:rsidR="00C46104">
        <w:rPr>
          <w:rFonts w:ascii="Times New Roman" w:hAnsi="Times New Roman" w:cs="Times New Roman" w:hint="eastAsia"/>
          <w:sz w:val="24"/>
          <w:szCs w:val="28"/>
        </w:rPr>
        <w:t>2</w:t>
      </w:r>
      <w:r w:rsidR="00C46104">
        <w:rPr>
          <w:rFonts w:ascii="Times New Roman" w:hAnsi="Times New Roman" w:cs="Times New Roman"/>
          <w:sz w:val="24"/>
          <w:szCs w:val="28"/>
        </w:rPr>
        <w:t>019</w:t>
      </w:r>
      <w:r w:rsidR="00C46104">
        <w:rPr>
          <w:rFonts w:ascii="Times New Roman" w:hAnsi="Times New Roman" w:cs="Times New Roman" w:hint="eastAsia"/>
          <w:sz w:val="24"/>
          <w:szCs w:val="28"/>
        </w:rPr>
        <w:t>年</w:t>
      </w:r>
      <w:r w:rsidR="00C46104">
        <w:rPr>
          <w:rFonts w:ascii="Times New Roman" w:hAnsi="Times New Roman" w:cs="Times New Roman"/>
          <w:sz w:val="24"/>
          <w:szCs w:val="28"/>
        </w:rPr>
        <w:t>6</w:t>
      </w:r>
      <w:r w:rsidR="00C46104">
        <w:rPr>
          <w:rFonts w:ascii="Times New Roman" w:hAnsi="Times New Roman" w:cs="Times New Roman" w:hint="eastAsia"/>
          <w:sz w:val="24"/>
          <w:szCs w:val="28"/>
        </w:rPr>
        <w:t>月</w:t>
      </w:r>
      <w:r w:rsidR="00C46104">
        <w:rPr>
          <w:rFonts w:ascii="Times New Roman" w:hAnsi="Times New Roman" w:cs="Times New Roman" w:hint="eastAsia"/>
          <w:sz w:val="24"/>
          <w:szCs w:val="28"/>
        </w:rPr>
        <w:t>2</w:t>
      </w:r>
      <w:r w:rsidR="00C46104">
        <w:rPr>
          <w:rFonts w:ascii="Times New Roman" w:hAnsi="Times New Roman" w:cs="Times New Roman"/>
          <w:sz w:val="24"/>
          <w:szCs w:val="28"/>
        </w:rPr>
        <w:t>8</w:t>
      </w:r>
      <w:r w:rsidR="00C46104">
        <w:rPr>
          <w:rFonts w:ascii="Times New Roman" w:hAnsi="Times New Roman" w:cs="Times New Roman" w:hint="eastAsia"/>
          <w:sz w:val="24"/>
          <w:szCs w:val="28"/>
        </w:rPr>
        <w:t>日，经法院法官组织评估公司、</w:t>
      </w:r>
      <w:r w:rsidR="00C46104" w:rsidRPr="00C46104">
        <w:rPr>
          <w:rFonts w:ascii="Times New Roman" w:hAnsi="Times New Roman" w:cs="Times New Roman" w:hint="eastAsia"/>
          <w:sz w:val="24"/>
          <w:szCs w:val="28"/>
        </w:rPr>
        <w:t>北京农投融资租赁有限公司</w:t>
      </w:r>
      <w:r w:rsidR="00C46104">
        <w:rPr>
          <w:rFonts w:ascii="Times New Roman" w:hAnsi="Times New Roman" w:cs="Times New Roman" w:hint="eastAsia"/>
          <w:sz w:val="24"/>
          <w:szCs w:val="28"/>
        </w:rPr>
        <w:t>、</w:t>
      </w:r>
      <w:r w:rsidR="00C46104" w:rsidRPr="00C46104">
        <w:rPr>
          <w:rFonts w:ascii="Times New Roman" w:hAnsi="Times New Roman" w:cs="Times New Roman" w:hint="eastAsia"/>
          <w:sz w:val="24"/>
          <w:szCs w:val="28"/>
        </w:rPr>
        <w:t>北京天翼生物工程有限公司</w:t>
      </w:r>
      <w:r w:rsidR="00C46104">
        <w:rPr>
          <w:rFonts w:ascii="Times New Roman" w:hAnsi="Times New Roman" w:cs="Times New Roman" w:hint="eastAsia"/>
          <w:sz w:val="24"/>
          <w:szCs w:val="28"/>
        </w:rPr>
        <w:t>相关负责人员，对坍塌的大棚进行盘点，经核实，共有</w:t>
      </w:r>
      <w:r w:rsidR="00C46104">
        <w:rPr>
          <w:rFonts w:ascii="Times New Roman" w:hAnsi="Times New Roman" w:cs="Times New Roman" w:hint="eastAsia"/>
          <w:sz w:val="24"/>
          <w:szCs w:val="28"/>
        </w:rPr>
        <w:t>3</w:t>
      </w:r>
      <w:r w:rsidR="00C46104">
        <w:rPr>
          <w:rFonts w:ascii="Times New Roman" w:hAnsi="Times New Roman" w:cs="Times New Roman"/>
          <w:sz w:val="24"/>
          <w:szCs w:val="28"/>
        </w:rPr>
        <w:t>0</w:t>
      </w:r>
      <w:r w:rsidR="00C46104">
        <w:rPr>
          <w:rFonts w:ascii="Times New Roman" w:hAnsi="Times New Roman" w:cs="Times New Roman" w:hint="eastAsia"/>
          <w:sz w:val="24"/>
          <w:szCs w:val="28"/>
        </w:rPr>
        <w:t>个大棚已经坍塌，无法使用。对核实后坍塌的大棚</w:t>
      </w:r>
      <w:r w:rsidR="00D369C8">
        <w:rPr>
          <w:rFonts w:ascii="Times New Roman" w:hAnsi="Times New Roman" w:cs="Times New Roman" w:hint="eastAsia"/>
          <w:sz w:val="24"/>
          <w:szCs w:val="28"/>
        </w:rPr>
        <w:t>的数量</w:t>
      </w:r>
      <w:r w:rsidR="00C46104">
        <w:rPr>
          <w:rFonts w:ascii="Times New Roman" w:hAnsi="Times New Roman" w:cs="Times New Roman" w:hint="eastAsia"/>
          <w:sz w:val="24"/>
          <w:szCs w:val="28"/>
        </w:rPr>
        <w:t>，评估人员在已出具的</w:t>
      </w:r>
      <w:r w:rsidR="00C46104" w:rsidRPr="00C46104">
        <w:rPr>
          <w:rFonts w:ascii="Times New Roman" w:hAnsi="Times New Roman" w:cs="Times New Roman" w:hint="eastAsia"/>
          <w:sz w:val="24"/>
          <w:szCs w:val="28"/>
        </w:rPr>
        <w:t>国专中衡评报字【</w:t>
      </w:r>
      <w:r w:rsidR="00C46104" w:rsidRPr="00C46104">
        <w:rPr>
          <w:rFonts w:ascii="Times New Roman" w:hAnsi="Times New Roman" w:cs="Times New Roman" w:hint="eastAsia"/>
          <w:sz w:val="24"/>
          <w:szCs w:val="28"/>
        </w:rPr>
        <w:t>2019</w:t>
      </w:r>
      <w:r w:rsidR="00C46104" w:rsidRPr="00C46104">
        <w:rPr>
          <w:rFonts w:ascii="Times New Roman" w:hAnsi="Times New Roman" w:cs="Times New Roman" w:hint="eastAsia"/>
          <w:sz w:val="24"/>
          <w:szCs w:val="28"/>
        </w:rPr>
        <w:t>】第</w:t>
      </w:r>
      <w:r w:rsidR="00C46104" w:rsidRPr="00C46104">
        <w:rPr>
          <w:rFonts w:ascii="Times New Roman" w:hAnsi="Times New Roman" w:cs="Times New Roman" w:hint="eastAsia"/>
          <w:sz w:val="24"/>
          <w:szCs w:val="28"/>
        </w:rPr>
        <w:t>007</w:t>
      </w:r>
      <w:r w:rsidR="00C46104" w:rsidRPr="00C46104">
        <w:rPr>
          <w:rFonts w:ascii="Times New Roman" w:hAnsi="Times New Roman" w:cs="Times New Roman" w:hint="eastAsia"/>
          <w:sz w:val="24"/>
          <w:szCs w:val="28"/>
        </w:rPr>
        <w:t>号</w:t>
      </w:r>
      <w:r w:rsidR="00C46104">
        <w:rPr>
          <w:rFonts w:ascii="Times New Roman" w:hAnsi="Times New Roman" w:cs="Times New Roman" w:hint="eastAsia"/>
          <w:sz w:val="24"/>
          <w:szCs w:val="28"/>
        </w:rPr>
        <w:t>评估报告中进行调整扣除。</w:t>
      </w:r>
    </w:p>
    <w:p w14:paraId="3009BDD1" w14:textId="6ACA1DE1" w:rsidR="00C46104" w:rsidRPr="002B5315" w:rsidRDefault="002B5315" w:rsidP="00F75976">
      <w:pPr>
        <w:spacing w:line="360" w:lineRule="auto"/>
        <w:ind w:firstLineChars="200" w:firstLine="482"/>
        <w:rPr>
          <w:rFonts w:ascii="Times New Roman" w:hAnsi="Times New Roman" w:cs="Times New Roman"/>
          <w:b/>
          <w:bCs/>
          <w:sz w:val="24"/>
          <w:szCs w:val="28"/>
        </w:rPr>
      </w:pPr>
      <w:r w:rsidRPr="002B5315">
        <w:rPr>
          <w:rFonts w:ascii="Times New Roman" w:hAnsi="Times New Roman" w:cs="Times New Roman" w:hint="eastAsia"/>
          <w:b/>
          <w:bCs/>
          <w:sz w:val="24"/>
          <w:szCs w:val="28"/>
        </w:rPr>
        <w:t>二、</w:t>
      </w:r>
      <w:r w:rsidR="00C46104" w:rsidRPr="002B5315">
        <w:rPr>
          <w:rFonts w:ascii="Times New Roman" w:hAnsi="Times New Roman" w:cs="Times New Roman" w:hint="eastAsia"/>
          <w:b/>
          <w:bCs/>
          <w:sz w:val="24"/>
          <w:szCs w:val="28"/>
        </w:rPr>
        <w:t>关于评估基准日之后北京天翼生物工程有限公司纳入评估范围内的大棚成新率调整的情况</w:t>
      </w:r>
    </w:p>
    <w:p w14:paraId="79F6EC18" w14:textId="3F68932A" w:rsidR="007B4604" w:rsidRDefault="00C46104" w:rsidP="007B4604">
      <w:pPr>
        <w:spacing w:line="360" w:lineRule="auto"/>
        <w:ind w:firstLineChars="200" w:firstLine="480"/>
        <w:rPr>
          <w:rFonts w:ascii="Times New Roman" w:hAnsi="Times New Roman" w:cs="Times New Roman"/>
          <w:sz w:val="24"/>
          <w:szCs w:val="28"/>
        </w:rPr>
      </w:pPr>
      <w:r>
        <w:rPr>
          <w:rFonts w:ascii="Times New Roman" w:hAnsi="Times New Roman" w:cs="Times New Roman" w:hint="eastAsia"/>
          <w:sz w:val="24"/>
          <w:szCs w:val="28"/>
        </w:rPr>
        <w:t>调整说明：</w:t>
      </w:r>
      <w:r w:rsidRPr="00C46104">
        <w:rPr>
          <w:rFonts w:ascii="Times New Roman" w:hAnsi="Times New Roman" w:cs="Times New Roman" w:hint="eastAsia"/>
          <w:sz w:val="24"/>
          <w:szCs w:val="28"/>
        </w:rPr>
        <w:t>于</w:t>
      </w:r>
      <w:r w:rsidRPr="00C46104">
        <w:rPr>
          <w:rFonts w:ascii="Times New Roman" w:hAnsi="Times New Roman" w:cs="Times New Roman" w:hint="eastAsia"/>
          <w:sz w:val="24"/>
          <w:szCs w:val="28"/>
        </w:rPr>
        <w:t>2019</w:t>
      </w:r>
      <w:r w:rsidRPr="00C46104">
        <w:rPr>
          <w:rFonts w:ascii="Times New Roman" w:hAnsi="Times New Roman" w:cs="Times New Roman" w:hint="eastAsia"/>
          <w:sz w:val="24"/>
          <w:szCs w:val="28"/>
        </w:rPr>
        <w:t>年</w:t>
      </w:r>
      <w:r w:rsidRPr="00C46104">
        <w:rPr>
          <w:rFonts w:ascii="Times New Roman" w:hAnsi="Times New Roman" w:cs="Times New Roman" w:hint="eastAsia"/>
          <w:sz w:val="24"/>
          <w:szCs w:val="28"/>
        </w:rPr>
        <w:t>6</w:t>
      </w:r>
      <w:r w:rsidRPr="00C46104">
        <w:rPr>
          <w:rFonts w:ascii="Times New Roman" w:hAnsi="Times New Roman" w:cs="Times New Roman" w:hint="eastAsia"/>
          <w:sz w:val="24"/>
          <w:szCs w:val="28"/>
        </w:rPr>
        <w:t>月</w:t>
      </w:r>
      <w:r w:rsidRPr="00C46104">
        <w:rPr>
          <w:rFonts w:ascii="Times New Roman" w:hAnsi="Times New Roman" w:cs="Times New Roman" w:hint="eastAsia"/>
          <w:sz w:val="24"/>
          <w:szCs w:val="28"/>
        </w:rPr>
        <w:t>28</w:t>
      </w:r>
      <w:r w:rsidRPr="00C46104">
        <w:rPr>
          <w:rFonts w:ascii="Times New Roman" w:hAnsi="Times New Roman" w:cs="Times New Roman" w:hint="eastAsia"/>
          <w:sz w:val="24"/>
          <w:szCs w:val="28"/>
        </w:rPr>
        <w:t>日，经法院法官组织评估公司、北京农投融资租赁有限公司、北京天翼生物工程有限公司相关负责人员</w:t>
      </w:r>
      <w:r>
        <w:rPr>
          <w:rFonts w:ascii="Times New Roman" w:hAnsi="Times New Roman" w:cs="Times New Roman" w:hint="eastAsia"/>
          <w:sz w:val="24"/>
          <w:szCs w:val="28"/>
        </w:rPr>
        <w:t>，对天翼生物的构筑物</w:t>
      </w:r>
      <w:r>
        <w:rPr>
          <w:rFonts w:ascii="Times New Roman" w:hAnsi="Times New Roman" w:cs="Times New Roman" w:hint="eastAsia"/>
          <w:sz w:val="24"/>
          <w:szCs w:val="28"/>
        </w:rPr>
        <w:t>-</w:t>
      </w:r>
      <w:r>
        <w:rPr>
          <w:rFonts w:ascii="Times New Roman" w:hAnsi="Times New Roman" w:cs="Times New Roman" w:hint="eastAsia"/>
          <w:sz w:val="24"/>
          <w:szCs w:val="28"/>
        </w:rPr>
        <w:t>日光温室大棚进行现场勘察，</w:t>
      </w:r>
      <w:r w:rsidR="00E915CF">
        <w:rPr>
          <w:rFonts w:ascii="Times New Roman" w:hAnsi="Times New Roman" w:cs="Times New Roman" w:hint="eastAsia"/>
          <w:sz w:val="24"/>
          <w:szCs w:val="28"/>
        </w:rPr>
        <w:t>部分日光温室存在墙体空鼓、裂缝、风化、剥落的情况，部分日光温室无薄膜覆盖等，对于上述问题，评估人员对成新率根据现场情况重新进行调整。</w:t>
      </w:r>
    </w:p>
    <w:p w14:paraId="29E27C97" w14:textId="06F5797C" w:rsidR="00F53E0E" w:rsidRPr="00F53E0E" w:rsidRDefault="00F53E0E" w:rsidP="007B4604">
      <w:pPr>
        <w:spacing w:line="360" w:lineRule="auto"/>
        <w:ind w:firstLineChars="200" w:firstLine="482"/>
        <w:rPr>
          <w:rFonts w:ascii="Times New Roman" w:hAnsi="Times New Roman" w:cs="Times New Roman"/>
          <w:b/>
          <w:bCs/>
          <w:sz w:val="24"/>
          <w:szCs w:val="28"/>
        </w:rPr>
      </w:pPr>
      <w:r w:rsidRPr="00F53E0E">
        <w:rPr>
          <w:rFonts w:ascii="Times New Roman" w:hAnsi="Times New Roman" w:cs="Times New Roman" w:hint="eastAsia"/>
          <w:b/>
          <w:bCs/>
          <w:sz w:val="24"/>
          <w:szCs w:val="28"/>
        </w:rPr>
        <w:t>三、关于评估基准日，</w:t>
      </w:r>
      <w:r w:rsidRPr="00F53E0E">
        <w:rPr>
          <w:rFonts w:ascii="Times New Roman" w:hAnsi="Times New Roman" w:cs="Times New Roman" w:hint="eastAsia"/>
          <w:b/>
          <w:bCs/>
          <w:sz w:val="24"/>
          <w:szCs w:val="28"/>
        </w:rPr>
        <w:t>北京天翼生物工程有限公司纳入评估范围内的</w:t>
      </w:r>
      <w:r w:rsidRPr="00F53E0E">
        <w:rPr>
          <w:rFonts w:ascii="Times New Roman" w:hAnsi="Times New Roman" w:cs="Times New Roman" w:hint="eastAsia"/>
          <w:b/>
          <w:bCs/>
          <w:sz w:val="24"/>
          <w:szCs w:val="28"/>
        </w:rPr>
        <w:t>草莓种植</w:t>
      </w:r>
      <w:r w:rsidRPr="00F53E0E">
        <w:rPr>
          <w:rFonts w:ascii="Times New Roman" w:hAnsi="Times New Roman" w:cs="Times New Roman" w:hint="eastAsia"/>
          <w:b/>
          <w:bCs/>
          <w:sz w:val="24"/>
          <w:szCs w:val="28"/>
        </w:rPr>
        <w:t>大棚</w:t>
      </w:r>
      <w:r w:rsidRPr="00F53E0E">
        <w:rPr>
          <w:rFonts w:ascii="Times New Roman" w:hAnsi="Times New Roman" w:cs="Times New Roman" w:hint="eastAsia"/>
          <w:b/>
          <w:bCs/>
          <w:sz w:val="24"/>
          <w:szCs w:val="28"/>
        </w:rPr>
        <w:t>数量</w:t>
      </w:r>
      <w:r w:rsidRPr="00F53E0E">
        <w:rPr>
          <w:rFonts w:ascii="Times New Roman" w:hAnsi="Times New Roman" w:cs="Times New Roman" w:hint="eastAsia"/>
          <w:b/>
          <w:bCs/>
          <w:sz w:val="24"/>
          <w:szCs w:val="28"/>
        </w:rPr>
        <w:t>调整的情况</w:t>
      </w:r>
    </w:p>
    <w:p w14:paraId="12425175" w14:textId="7E946CB5" w:rsidR="00F53E0E" w:rsidRDefault="00F53E0E" w:rsidP="007B4604">
      <w:pPr>
        <w:spacing w:line="360" w:lineRule="auto"/>
        <w:ind w:firstLineChars="200" w:firstLine="480"/>
        <w:rPr>
          <w:rFonts w:ascii="Times New Roman" w:hAnsi="Times New Roman" w:cs="Times New Roman" w:hint="eastAsia"/>
          <w:sz w:val="24"/>
          <w:szCs w:val="28"/>
        </w:rPr>
      </w:pPr>
      <w:r>
        <w:rPr>
          <w:rFonts w:ascii="Times New Roman" w:hAnsi="Times New Roman" w:cs="Times New Roman" w:hint="eastAsia"/>
          <w:sz w:val="24"/>
          <w:szCs w:val="28"/>
        </w:rPr>
        <w:t>调整说明：</w:t>
      </w:r>
      <w:r>
        <w:rPr>
          <w:rFonts w:ascii="Times New Roman" w:hAnsi="Times New Roman" w:cs="Times New Roman" w:hint="eastAsia"/>
          <w:sz w:val="24"/>
          <w:szCs w:val="28"/>
        </w:rPr>
        <w:t>于</w:t>
      </w:r>
      <w:r>
        <w:rPr>
          <w:rFonts w:ascii="Times New Roman" w:hAnsi="Times New Roman" w:cs="Times New Roman" w:hint="eastAsia"/>
          <w:sz w:val="24"/>
          <w:szCs w:val="28"/>
        </w:rPr>
        <w:t>2</w:t>
      </w:r>
      <w:r>
        <w:rPr>
          <w:rFonts w:ascii="Times New Roman" w:hAnsi="Times New Roman" w:cs="Times New Roman"/>
          <w:sz w:val="24"/>
          <w:szCs w:val="28"/>
        </w:rPr>
        <w:t>019</w:t>
      </w:r>
      <w:r>
        <w:rPr>
          <w:rFonts w:ascii="Times New Roman" w:hAnsi="Times New Roman" w:cs="Times New Roman" w:hint="eastAsia"/>
          <w:sz w:val="24"/>
          <w:szCs w:val="28"/>
        </w:rPr>
        <w:t>年</w:t>
      </w:r>
      <w:r>
        <w:rPr>
          <w:rFonts w:ascii="Times New Roman" w:hAnsi="Times New Roman" w:cs="Times New Roman"/>
          <w:sz w:val="24"/>
          <w:szCs w:val="28"/>
        </w:rPr>
        <w:t>7</w:t>
      </w:r>
      <w:r>
        <w:rPr>
          <w:rFonts w:ascii="Times New Roman" w:hAnsi="Times New Roman" w:cs="Times New Roman" w:hint="eastAsia"/>
          <w:sz w:val="24"/>
          <w:szCs w:val="28"/>
        </w:rPr>
        <w:t>月</w:t>
      </w:r>
      <w:r>
        <w:rPr>
          <w:rFonts w:ascii="Times New Roman" w:hAnsi="Times New Roman" w:cs="Times New Roman" w:hint="eastAsia"/>
          <w:sz w:val="24"/>
          <w:szCs w:val="28"/>
        </w:rPr>
        <w:t>2</w:t>
      </w:r>
      <w:r>
        <w:rPr>
          <w:rFonts w:ascii="Times New Roman" w:hAnsi="Times New Roman" w:cs="Times New Roman"/>
          <w:sz w:val="24"/>
          <w:szCs w:val="28"/>
        </w:rPr>
        <w:t>9</w:t>
      </w:r>
      <w:r>
        <w:rPr>
          <w:rFonts w:ascii="Times New Roman" w:hAnsi="Times New Roman" w:cs="Times New Roman" w:hint="eastAsia"/>
          <w:sz w:val="24"/>
          <w:szCs w:val="28"/>
        </w:rPr>
        <w:t>日，</w:t>
      </w:r>
      <w:r w:rsidRPr="00F53E0E">
        <w:rPr>
          <w:rFonts w:ascii="Times New Roman" w:hAnsi="Times New Roman" w:cs="Times New Roman" w:hint="eastAsia"/>
          <w:sz w:val="24"/>
          <w:szCs w:val="28"/>
        </w:rPr>
        <w:t>经法院法官组织评估公司、北京农投融资租赁有限公司、北京天翼生物工程有限公司相关负责人员</w:t>
      </w:r>
      <w:r>
        <w:rPr>
          <w:rFonts w:ascii="Times New Roman" w:hAnsi="Times New Roman" w:cs="Times New Roman" w:hint="eastAsia"/>
          <w:sz w:val="24"/>
          <w:szCs w:val="28"/>
        </w:rPr>
        <w:t>进行沟通，天翼生物负责人提供桃花草莓园草莓种植大棚实际数量为</w:t>
      </w:r>
      <w:r>
        <w:rPr>
          <w:rFonts w:ascii="Times New Roman" w:hAnsi="Times New Roman" w:cs="Times New Roman" w:hint="eastAsia"/>
          <w:sz w:val="24"/>
          <w:szCs w:val="28"/>
        </w:rPr>
        <w:t>5</w:t>
      </w:r>
      <w:r>
        <w:rPr>
          <w:rFonts w:ascii="Times New Roman" w:hAnsi="Times New Roman" w:cs="Times New Roman"/>
          <w:sz w:val="24"/>
          <w:szCs w:val="28"/>
        </w:rPr>
        <w:t>6</w:t>
      </w:r>
      <w:r>
        <w:rPr>
          <w:rFonts w:ascii="Times New Roman" w:hAnsi="Times New Roman" w:cs="Times New Roman" w:hint="eastAsia"/>
          <w:sz w:val="24"/>
          <w:szCs w:val="28"/>
        </w:rPr>
        <w:t>棚，评估人员根据其提供的数量进行了数量调整。</w:t>
      </w:r>
    </w:p>
    <w:p w14:paraId="1026618D" w14:textId="779AF810" w:rsidR="00E915CF" w:rsidRPr="002B5315" w:rsidRDefault="00F53E0E" w:rsidP="00F75976">
      <w:pPr>
        <w:spacing w:line="360" w:lineRule="auto"/>
        <w:ind w:firstLineChars="200" w:firstLine="482"/>
        <w:rPr>
          <w:rFonts w:ascii="Times New Roman" w:hAnsi="Times New Roman" w:cs="Times New Roman"/>
          <w:b/>
          <w:bCs/>
          <w:sz w:val="24"/>
          <w:szCs w:val="28"/>
        </w:rPr>
      </w:pPr>
      <w:r>
        <w:rPr>
          <w:rFonts w:ascii="Times New Roman" w:hAnsi="Times New Roman" w:cs="Times New Roman" w:hint="eastAsia"/>
          <w:b/>
          <w:bCs/>
          <w:sz w:val="24"/>
          <w:szCs w:val="28"/>
        </w:rPr>
        <w:t>四</w:t>
      </w:r>
      <w:r w:rsidR="002B5315">
        <w:rPr>
          <w:rFonts w:ascii="Times New Roman" w:hAnsi="Times New Roman" w:cs="Times New Roman" w:hint="eastAsia"/>
          <w:b/>
          <w:bCs/>
          <w:sz w:val="24"/>
          <w:szCs w:val="28"/>
        </w:rPr>
        <w:t>、</w:t>
      </w:r>
      <w:r w:rsidR="007B4604" w:rsidRPr="002B5315">
        <w:rPr>
          <w:rFonts w:ascii="Times New Roman" w:hAnsi="Times New Roman" w:cs="Times New Roman" w:hint="eastAsia"/>
          <w:b/>
          <w:bCs/>
          <w:sz w:val="24"/>
          <w:szCs w:val="28"/>
        </w:rPr>
        <w:t>对上述情况，评估</w:t>
      </w:r>
      <w:r w:rsidR="00847386" w:rsidRPr="002B5315">
        <w:rPr>
          <w:rFonts w:ascii="Times New Roman" w:hAnsi="Times New Roman" w:cs="Times New Roman" w:hint="eastAsia"/>
          <w:b/>
          <w:bCs/>
          <w:sz w:val="24"/>
          <w:szCs w:val="28"/>
        </w:rPr>
        <w:t>人员</w:t>
      </w:r>
      <w:r w:rsidR="007B4604" w:rsidRPr="002B5315">
        <w:rPr>
          <w:rFonts w:ascii="Times New Roman" w:hAnsi="Times New Roman" w:cs="Times New Roman" w:hint="eastAsia"/>
          <w:b/>
          <w:bCs/>
          <w:sz w:val="24"/>
          <w:szCs w:val="28"/>
        </w:rPr>
        <w:t>根据现场核实盘点及勘察</w:t>
      </w:r>
      <w:r w:rsidR="00847386" w:rsidRPr="002B5315">
        <w:rPr>
          <w:rFonts w:ascii="Times New Roman" w:hAnsi="Times New Roman" w:cs="Times New Roman" w:hint="eastAsia"/>
          <w:b/>
          <w:bCs/>
          <w:sz w:val="24"/>
          <w:szCs w:val="28"/>
        </w:rPr>
        <w:t>情况</w:t>
      </w:r>
      <w:r w:rsidR="007B4604" w:rsidRPr="002B5315">
        <w:rPr>
          <w:rFonts w:ascii="Times New Roman" w:hAnsi="Times New Roman" w:cs="Times New Roman" w:hint="eastAsia"/>
          <w:b/>
          <w:bCs/>
          <w:sz w:val="24"/>
          <w:szCs w:val="28"/>
        </w:rPr>
        <w:t>，调整后的评估结果如下：</w:t>
      </w:r>
    </w:p>
    <w:p w14:paraId="3E569115" w14:textId="77777777" w:rsidR="001F1921" w:rsidRDefault="002B5315" w:rsidP="001F1921">
      <w:pPr>
        <w:spacing w:line="360" w:lineRule="auto"/>
        <w:ind w:firstLineChars="200" w:firstLine="482"/>
        <w:rPr>
          <w:rFonts w:ascii="Times New Roman" w:hAnsi="Times New Roman" w:cs="Times New Roman"/>
          <w:sz w:val="24"/>
          <w:szCs w:val="28"/>
        </w:rPr>
      </w:pPr>
      <w:bookmarkStart w:id="0" w:name="_Hlk9254912"/>
      <w:bookmarkStart w:id="1" w:name="_Hlk9253058"/>
      <w:r w:rsidRPr="002B5315">
        <w:rPr>
          <w:rFonts w:ascii="Times New Roman" w:hAnsi="Times New Roman" w:cs="Times New Roman" w:hint="eastAsia"/>
          <w:b/>
          <w:bCs/>
          <w:sz w:val="24"/>
          <w:szCs w:val="28"/>
        </w:rPr>
        <w:t>(</w:t>
      </w:r>
      <w:r w:rsidRPr="002B5315">
        <w:rPr>
          <w:rFonts w:ascii="Times New Roman" w:hAnsi="Times New Roman" w:cs="Times New Roman" w:hint="eastAsia"/>
          <w:b/>
          <w:bCs/>
          <w:sz w:val="24"/>
          <w:szCs w:val="28"/>
        </w:rPr>
        <w:t>一</w:t>
      </w:r>
      <w:r w:rsidRPr="002B5315">
        <w:rPr>
          <w:rFonts w:ascii="Times New Roman" w:hAnsi="Times New Roman" w:cs="Times New Roman"/>
          <w:b/>
          <w:bCs/>
          <w:sz w:val="24"/>
          <w:szCs w:val="28"/>
        </w:rPr>
        <w:t>)</w:t>
      </w:r>
      <w:r w:rsidRPr="002B5315">
        <w:rPr>
          <w:rFonts w:ascii="Times New Roman" w:hAnsi="Times New Roman" w:cs="Times New Roman" w:hint="eastAsia"/>
          <w:b/>
          <w:bCs/>
          <w:sz w:val="24"/>
          <w:szCs w:val="28"/>
        </w:rPr>
        <w:t>兴寿草莓园</w:t>
      </w:r>
      <w:bookmarkEnd w:id="0"/>
      <w:r w:rsidRPr="002B5315">
        <w:rPr>
          <w:rFonts w:ascii="Times New Roman" w:hAnsi="Times New Roman" w:cs="Times New Roman" w:hint="eastAsia"/>
          <w:b/>
          <w:bCs/>
          <w:sz w:val="24"/>
          <w:szCs w:val="28"/>
        </w:rPr>
        <w:t>：</w:t>
      </w:r>
      <w:r w:rsidRPr="002B5315">
        <w:rPr>
          <w:rFonts w:ascii="Times New Roman" w:hAnsi="Times New Roman" w:cs="Times New Roman" w:hint="eastAsia"/>
          <w:sz w:val="24"/>
          <w:szCs w:val="28"/>
        </w:rPr>
        <w:t>享有的土地承包权及相应地上物（地上建筑物、构筑物、</w:t>
      </w:r>
      <w:r w:rsidRPr="002B5315">
        <w:rPr>
          <w:rFonts w:ascii="Times New Roman" w:hAnsi="Times New Roman" w:cs="Times New Roman" w:hint="eastAsia"/>
          <w:sz w:val="24"/>
          <w:szCs w:val="28"/>
        </w:rPr>
        <w:lastRenderedPageBreak/>
        <w:t>附属设施、树木、果木）的评估价值为人民币</w:t>
      </w:r>
      <w:r w:rsidR="00F53E0E" w:rsidRPr="00F53E0E">
        <w:rPr>
          <w:rFonts w:ascii="Times New Roman" w:hAnsi="Times New Roman" w:cs="Times New Roman"/>
          <w:sz w:val="24"/>
          <w:szCs w:val="28"/>
        </w:rPr>
        <w:t>8,801.64</w:t>
      </w:r>
      <w:r w:rsidRPr="002B5315">
        <w:rPr>
          <w:rFonts w:ascii="Times New Roman" w:hAnsi="Times New Roman" w:cs="Times New Roman" w:hint="eastAsia"/>
          <w:sz w:val="24"/>
          <w:szCs w:val="28"/>
        </w:rPr>
        <w:t>万元（金额大写：人民币</w:t>
      </w:r>
      <w:r w:rsidR="00F53E0E">
        <w:rPr>
          <w:rFonts w:ascii="Times New Roman" w:hAnsi="Times New Roman" w:cs="Times New Roman" w:hint="eastAsia"/>
          <w:sz w:val="24"/>
          <w:szCs w:val="28"/>
        </w:rPr>
        <w:t>捌仟捌</w:t>
      </w:r>
      <w:r w:rsidRPr="002B5315">
        <w:rPr>
          <w:rFonts w:ascii="Times New Roman" w:hAnsi="Times New Roman" w:cs="Times New Roman" w:hint="eastAsia"/>
          <w:sz w:val="24"/>
          <w:szCs w:val="28"/>
        </w:rPr>
        <w:t>佰零</w:t>
      </w:r>
      <w:r w:rsidR="00F53E0E">
        <w:rPr>
          <w:rFonts w:ascii="Times New Roman" w:hAnsi="Times New Roman" w:cs="Times New Roman" w:hint="eastAsia"/>
          <w:sz w:val="24"/>
          <w:szCs w:val="28"/>
        </w:rPr>
        <w:t>壹</w:t>
      </w:r>
      <w:r w:rsidRPr="002B5315">
        <w:rPr>
          <w:rFonts w:ascii="Times New Roman" w:hAnsi="Times New Roman" w:cs="Times New Roman" w:hint="eastAsia"/>
          <w:sz w:val="24"/>
          <w:szCs w:val="28"/>
        </w:rPr>
        <w:t>万</w:t>
      </w:r>
      <w:r w:rsidR="00F53E0E">
        <w:rPr>
          <w:rFonts w:ascii="Times New Roman" w:hAnsi="Times New Roman" w:cs="Times New Roman" w:hint="eastAsia"/>
          <w:sz w:val="24"/>
          <w:szCs w:val="28"/>
        </w:rPr>
        <w:t>陆</w:t>
      </w:r>
      <w:r w:rsidRPr="002B5315">
        <w:rPr>
          <w:rFonts w:ascii="Times New Roman" w:hAnsi="Times New Roman" w:cs="Times New Roman" w:hint="eastAsia"/>
          <w:sz w:val="24"/>
          <w:szCs w:val="28"/>
        </w:rPr>
        <w:t>仟</w:t>
      </w:r>
      <w:r w:rsidR="00F53E0E">
        <w:rPr>
          <w:rFonts w:ascii="Times New Roman" w:hAnsi="Times New Roman" w:cs="Times New Roman" w:hint="eastAsia"/>
          <w:sz w:val="24"/>
          <w:szCs w:val="28"/>
        </w:rPr>
        <w:t>肆</w:t>
      </w:r>
      <w:r w:rsidRPr="002B5315">
        <w:rPr>
          <w:rFonts w:ascii="Times New Roman" w:hAnsi="Times New Roman" w:cs="Times New Roman" w:hint="eastAsia"/>
          <w:sz w:val="24"/>
          <w:szCs w:val="28"/>
        </w:rPr>
        <w:t>佰元整）。</w:t>
      </w:r>
      <w:bookmarkEnd w:id="1"/>
    </w:p>
    <w:p w14:paraId="2BBB34BA" w14:textId="37FD2FC5" w:rsidR="002B5315" w:rsidRPr="001F1921" w:rsidRDefault="001F1921" w:rsidP="001F1921">
      <w:pPr>
        <w:spacing w:line="360" w:lineRule="auto"/>
        <w:ind w:firstLineChars="1100" w:firstLine="2650"/>
        <w:rPr>
          <w:rFonts w:ascii="Times New Roman" w:hAnsi="Times New Roman" w:cs="Times New Roman" w:hint="eastAsia"/>
          <w:sz w:val="24"/>
          <w:szCs w:val="28"/>
        </w:rPr>
      </w:pPr>
      <w:r w:rsidRPr="00F53E0E">
        <w:rPr>
          <w:rFonts w:ascii="Times New Roman" w:hAnsi="Times New Roman" w:cs="Times New Roman" w:hint="eastAsia"/>
          <w:b/>
          <w:bCs/>
          <w:sz w:val="24"/>
          <w:szCs w:val="28"/>
        </w:rPr>
        <w:t>成本法评估结论汇总表</w:t>
      </w:r>
      <w:r>
        <w:rPr>
          <w:rFonts w:ascii="Times New Roman" w:hAnsi="Times New Roman" w:cs="Times New Roman" w:hint="eastAsia"/>
          <w:b/>
          <w:bCs/>
          <w:sz w:val="24"/>
          <w:szCs w:val="28"/>
        </w:rPr>
        <w:t>(</w:t>
      </w:r>
      <w:r>
        <w:rPr>
          <w:rFonts w:ascii="Times New Roman" w:hAnsi="Times New Roman" w:cs="Times New Roman" w:hint="eastAsia"/>
          <w:b/>
          <w:bCs/>
          <w:sz w:val="24"/>
          <w:szCs w:val="28"/>
        </w:rPr>
        <w:t>一</w:t>
      </w:r>
      <w:r>
        <w:rPr>
          <w:rFonts w:ascii="Times New Roman" w:hAnsi="Times New Roman" w:cs="Times New Roman"/>
          <w:b/>
          <w:bCs/>
          <w:sz w:val="24"/>
          <w:szCs w:val="28"/>
        </w:rPr>
        <w:t>)</w:t>
      </w:r>
      <w:r>
        <w:rPr>
          <w:rFonts w:ascii="Times New Roman" w:hAnsi="Times New Roman" w:cs="Times New Roman" w:hint="eastAsia"/>
          <w:sz w:val="24"/>
          <w:szCs w:val="28"/>
        </w:rPr>
        <w:t xml:space="preserve"> </w:t>
      </w:r>
      <w:r w:rsidRPr="002B5315">
        <w:rPr>
          <w:rFonts w:ascii="Times New Roman" w:hAnsi="Times New Roman" w:cs="Times New Roman" w:hint="eastAsia"/>
          <w:sz w:val="24"/>
          <w:szCs w:val="28"/>
        </w:rPr>
        <w:t xml:space="preserve">    </w:t>
      </w:r>
      <w:r>
        <w:rPr>
          <w:rFonts w:ascii="Times New Roman" w:hAnsi="Times New Roman" w:cs="Times New Roman"/>
          <w:sz w:val="24"/>
          <w:szCs w:val="28"/>
        </w:rPr>
        <w:t xml:space="preserve">    </w:t>
      </w:r>
      <w:bookmarkStart w:id="2" w:name="_GoBack"/>
      <w:bookmarkEnd w:id="2"/>
      <w:r w:rsidRPr="002B5315">
        <w:rPr>
          <w:rFonts w:ascii="Times New Roman" w:hAnsi="Times New Roman" w:cs="Times New Roman" w:hint="eastAsia"/>
          <w:sz w:val="24"/>
          <w:szCs w:val="28"/>
        </w:rPr>
        <w:t xml:space="preserve"> </w:t>
      </w:r>
      <w:r w:rsidRPr="002B5315">
        <w:rPr>
          <w:rFonts w:ascii="Times New Roman" w:hAnsi="Times New Roman" w:cs="Times New Roman" w:hint="eastAsia"/>
          <w:sz w:val="24"/>
          <w:szCs w:val="28"/>
        </w:rPr>
        <w:t>金额单位：万元</w:t>
      </w:r>
    </w:p>
    <w:tbl>
      <w:tblPr>
        <w:tblW w:w="5000" w:type="pct"/>
        <w:tblLayout w:type="fixed"/>
        <w:tblLook w:val="04A0" w:firstRow="1" w:lastRow="0" w:firstColumn="1" w:lastColumn="0" w:noHBand="0" w:noVBand="1"/>
      </w:tblPr>
      <w:tblGrid>
        <w:gridCol w:w="816"/>
        <w:gridCol w:w="4111"/>
        <w:gridCol w:w="3595"/>
      </w:tblGrid>
      <w:tr w:rsidR="002B5315" w:rsidRPr="00F6033B" w14:paraId="2A30AA19" w14:textId="77777777" w:rsidTr="00F53E0E">
        <w:trPr>
          <w:trHeight w:val="397"/>
        </w:trPr>
        <w:tc>
          <w:tcPr>
            <w:tcW w:w="479" w:type="pct"/>
            <w:tcBorders>
              <w:top w:val="single" w:sz="4" w:space="0" w:color="auto"/>
              <w:left w:val="single" w:sz="4" w:space="0" w:color="auto"/>
              <w:bottom w:val="single" w:sz="6" w:space="0" w:color="auto"/>
              <w:right w:val="single" w:sz="6" w:space="0" w:color="auto"/>
            </w:tcBorders>
            <w:noWrap/>
            <w:vAlign w:val="center"/>
            <w:hideMark/>
          </w:tcPr>
          <w:p w14:paraId="47E29EAF" w14:textId="77777777" w:rsidR="002B5315" w:rsidRPr="00F53E0E" w:rsidRDefault="002B5315" w:rsidP="00ED773C">
            <w:pPr>
              <w:jc w:val="center"/>
              <w:rPr>
                <w:rFonts w:ascii="Times New Roman" w:hAnsi="Times New Roman" w:cs="Times New Roman"/>
                <w:b/>
                <w:bCs/>
                <w:sz w:val="20"/>
              </w:rPr>
            </w:pPr>
            <w:r w:rsidRPr="00F53E0E">
              <w:rPr>
                <w:rFonts w:ascii="Times New Roman" w:hAnsi="Times New Roman" w:cs="Times New Roman"/>
                <w:b/>
                <w:bCs/>
                <w:sz w:val="20"/>
              </w:rPr>
              <w:t>序号</w:t>
            </w:r>
          </w:p>
        </w:tc>
        <w:tc>
          <w:tcPr>
            <w:tcW w:w="2412" w:type="pct"/>
            <w:tcBorders>
              <w:top w:val="single" w:sz="4" w:space="0" w:color="auto"/>
              <w:left w:val="single" w:sz="6" w:space="0" w:color="auto"/>
              <w:bottom w:val="single" w:sz="6" w:space="0" w:color="auto"/>
              <w:right w:val="single" w:sz="6" w:space="0" w:color="auto"/>
            </w:tcBorders>
            <w:noWrap/>
            <w:vAlign w:val="center"/>
            <w:hideMark/>
          </w:tcPr>
          <w:p w14:paraId="5BEE749E" w14:textId="67BA226F" w:rsidR="002B5315" w:rsidRPr="00F53E0E" w:rsidRDefault="002B5315" w:rsidP="00ED773C">
            <w:pPr>
              <w:jc w:val="center"/>
              <w:rPr>
                <w:rFonts w:ascii="Times New Roman" w:hAnsi="Times New Roman" w:cs="Times New Roman"/>
                <w:b/>
                <w:bCs/>
                <w:sz w:val="20"/>
              </w:rPr>
            </w:pPr>
            <w:r w:rsidRPr="00F53E0E">
              <w:rPr>
                <w:rFonts w:ascii="Times New Roman" w:hAnsi="Times New Roman" w:cs="Times New Roman"/>
                <w:b/>
                <w:bCs/>
                <w:sz w:val="20"/>
              </w:rPr>
              <w:t>项</w:t>
            </w:r>
            <w:r w:rsidRPr="00F53E0E">
              <w:rPr>
                <w:rFonts w:ascii="Times New Roman" w:hAnsi="Times New Roman" w:cs="Times New Roman"/>
                <w:b/>
                <w:bCs/>
                <w:sz w:val="20"/>
              </w:rPr>
              <w:t xml:space="preserve">      </w:t>
            </w:r>
            <w:r w:rsidRPr="00F53E0E">
              <w:rPr>
                <w:rFonts w:ascii="Times New Roman" w:hAnsi="Times New Roman" w:cs="Times New Roman"/>
                <w:b/>
                <w:bCs/>
                <w:sz w:val="20"/>
              </w:rPr>
              <w:t>目</w:t>
            </w:r>
          </w:p>
        </w:tc>
        <w:tc>
          <w:tcPr>
            <w:tcW w:w="2109" w:type="pct"/>
            <w:tcBorders>
              <w:top w:val="single" w:sz="4" w:space="0" w:color="auto"/>
              <w:left w:val="single" w:sz="6" w:space="0" w:color="auto"/>
              <w:bottom w:val="single" w:sz="6" w:space="0" w:color="auto"/>
              <w:right w:val="single" w:sz="4" w:space="0" w:color="auto"/>
            </w:tcBorders>
            <w:noWrap/>
            <w:vAlign w:val="center"/>
            <w:hideMark/>
          </w:tcPr>
          <w:p w14:paraId="65FCB174" w14:textId="77777777" w:rsidR="002B5315" w:rsidRPr="00F53E0E" w:rsidRDefault="002B5315" w:rsidP="00ED773C">
            <w:pPr>
              <w:jc w:val="center"/>
              <w:rPr>
                <w:rFonts w:ascii="Times New Roman" w:hAnsi="Times New Roman" w:cs="Times New Roman"/>
                <w:b/>
                <w:bCs/>
                <w:sz w:val="20"/>
              </w:rPr>
            </w:pPr>
            <w:r w:rsidRPr="00F53E0E">
              <w:rPr>
                <w:rFonts w:ascii="Times New Roman" w:hAnsi="Times New Roman" w:cs="Times New Roman"/>
                <w:b/>
                <w:bCs/>
                <w:sz w:val="20"/>
              </w:rPr>
              <w:t>评估价值</w:t>
            </w:r>
          </w:p>
        </w:tc>
      </w:tr>
      <w:tr w:rsidR="002B5315" w:rsidRPr="00F6033B" w14:paraId="2FA4F9B7" w14:textId="77777777" w:rsidTr="00F53E0E">
        <w:trPr>
          <w:trHeight w:val="397"/>
        </w:trPr>
        <w:tc>
          <w:tcPr>
            <w:tcW w:w="479" w:type="pct"/>
            <w:tcBorders>
              <w:top w:val="single" w:sz="6" w:space="0" w:color="auto"/>
              <w:left w:val="single" w:sz="4" w:space="0" w:color="auto"/>
              <w:bottom w:val="single" w:sz="6" w:space="0" w:color="auto"/>
              <w:right w:val="single" w:sz="6" w:space="0" w:color="auto"/>
            </w:tcBorders>
            <w:noWrap/>
            <w:vAlign w:val="center"/>
            <w:hideMark/>
          </w:tcPr>
          <w:p w14:paraId="27FA5DB2" w14:textId="77777777" w:rsidR="002B5315" w:rsidRPr="00F53E0E" w:rsidRDefault="002B5315" w:rsidP="00ED773C">
            <w:pPr>
              <w:jc w:val="center"/>
              <w:rPr>
                <w:rFonts w:ascii="Times New Roman" w:hAnsi="Times New Roman" w:cs="Times New Roman"/>
                <w:sz w:val="20"/>
              </w:rPr>
            </w:pPr>
            <w:r w:rsidRPr="00F53E0E">
              <w:rPr>
                <w:rFonts w:ascii="Times New Roman" w:hAnsi="Times New Roman" w:cs="Times New Roman"/>
                <w:sz w:val="20"/>
              </w:rPr>
              <w:t>1</w:t>
            </w:r>
          </w:p>
        </w:tc>
        <w:tc>
          <w:tcPr>
            <w:tcW w:w="2412" w:type="pct"/>
            <w:tcBorders>
              <w:top w:val="single" w:sz="6" w:space="0" w:color="auto"/>
              <w:left w:val="single" w:sz="6" w:space="0" w:color="auto"/>
              <w:bottom w:val="single" w:sz="6" w:space="0" w:color="auto"/>
              <w:right w:val="single" w:sz="6" w:space="0" w:color="auto"/>
            </w:tcBorders>
            <w:noWrap/>
            <w:vAlign w:val="center"/>
            <w:hideMark/>
          </w:tcPr>
          <w:p w14:paraId="4AE93C9F" w14:textId="77777777" w:rsidR="002B5315" w:rsidRPr="00F53E0E" w:rsidRDefault="002B5315" w:rsidP="00ED773C">
            <w:pPr>
              <w:rPr>
                <w:rFonts w:ascii="Times New Roman" w:hAnsi="Times New Roman" w:cs="Times New Roman"/>
                <w:sz w:val="20"/>
              </w:rPr>
            </w:pPr>
            <w:r w:rsidRPr="00F53E0E">
              <w:rPr>
                <w:rFonts w:ascii="Times New Roman" w:hAnsi="Times New Roman" w:cs="Times New Roman"/>
                <w:sz w:val="20"/>
              </w:rPr>
              <w:t>固定资产（地上建筑物、构筑物、附属设施）</w:t>
            </w:r>
          </w:p>
        </w:tc>
        <w:tc>
          <w:tcPr>
            <w:tcW w:w="2109" w:type="pct"/>
            <w:tcBorders>
              <w:top w:val="single" w:sz="6" w:space="0" w:color="auto"/>
              <w:left w:val="single" w:sz="6" w:space="0" w:color="auto"/>
              <w:bottom w:val="single" w:sz="6" w:space="0" w:color="auto"/>
              <w:right w:val="single" w:sz="4" w:space="0" w:color="auto"/>
            </w:tcBorders>
            <w:noWrap/>
            <w:vAlign w:val="center"/>
            <w:hideMark/>
          </w:tcPr>
          <w:p w14:paraId="70C77A1F" w14:textId="61F89B06" w:rsidR="002B5315" w:rsidRPr="00F53E0E" w:rsidRDefault="00F53E0E" w:rsidP="00ED773C">
            <w:pPr>
              <w:jc w:val="right"/>
              <w:rPr>
                <w:rFonts w:ascii="Times New Roman" w:hAnsi="Times New Roman" w:cs="Times New Roman"/>
                <w:sz w:val="20"/>
              </w:rPr>
            </w:pPr>
            <w:r w:rsidRPr="00F53E0E">
              <w:rPr>
                <w:rFonts w:ascii="Times New Roman" w:hAnsi="Times New Roman" w:cs="Times New Roman"/>
                <w:sz w:val="20"/>
              </w:rPr>
              <w:t>1,839.89</w:t>
            </w:r>
          </w:p>
        </w:tc>
      </w:tr>
      <w:tr w:rsidR="002B5315" w:rsidRPr="00F6033B" w14:paraId="0218C520" w14:textId="77777777" w:rsidTr="00F53E0E">
        <w:trPr>
          <w:trHeight w:val="397"/>
        </w:trPr>
        <w:tc>
          <w:tcPr>
            <w:tcW w:w="479" w:type="pct"/>
            <w:tcBorders>
              <w:top w:val="single" w:sz="6" w:space="0" w:color="auto"/>
              <w:left w:val="single" w:sz="4" w:space="0" w:color="auto"/>
              <w:bottom w:val="single" w:sz="6" w:space="0" w:color="auto"/>
              <w:right w:val="single" w:sz="6" w:space="0" w:color="auto"/>
            </w:tcBorders>
            <w:noWrap/>
            <w:vAlign w:val="center"/>
            <w:hideMark/>
          </w:tcPr>
          <w:p w14:paraId="670C9E18" w14:textId="77777777" w:rsidR="002B5315" w:rsidRPr="00F53E0E" w:rsidRDefault="002B5315" w:rsidP="00ED773C">
            <w:pPr>
              <w:jc w:val="center"/>
              <w:rPr>
                <w:rFonts w:ascii="Times New Roman" w:hAnsi="Times New Roman" w:cs="Times New Roman"/>
                <w:sz w:val="20"/>
              </w:rPr>
            </w:pPr>
            <w:r w:rsidRPr="00F53E0E">
              <w:rPr>
                <w:rFonts w:ascii="Times New Roman" w:hAnsi="Times New Roman" w:cs="Times New Roman"/>
                <w:sz w:val="20"/>
              </w:rPr>
              <w:t>2</w:t>
            </w:r>
          </w:p>
        </w:tc>
        <w:tc>
          <w:tcPr>
            <w:tcW w:w="2412" w:type="pct"/>
            <w:tcBorders>
              <w:top w:val="single" w:sz="6" w:space="0" w:color="auto"/>
              <w:left w:val="single" w:sz="6" w:space="0" w:color="auto"/>
              <w:bottom w:val="single" w:sz="6" w:space="0" w:color="auto"/>
              <w:right w:val="single" w:sz="6" w:space="0" w:color="auto"/>
            </w:tcBorders>
            <w:noWrap/>
            <w:vAlign w:val="center"/>
            <w:hideMark/>
          </w:tcPr>
          <w:p w14:paraId="6A19FCE5" w14:textId="77777777" w:rsidR="002B5315" w:rsidRPr="00F53E0E" w:rsidRDefault="002B5315" w:rsidP="00ED773C">
            <w:pPr>
              <w:rPr>
                <w:rFonts w:ascii="Times New Roman" w:hAnsi="Times New Roman" w:cs="Times New Roman"/>
                <w:sz w:val="20"/>
              </w:rPr>
            </w:pPr>
            <w:r w:rsidRPr="00F53E0E">
              <w:rPr>
                <w:rFonts w:ascii="Times New Roman" w:hAnsi="Times New Roman" w:cs="Times New Roman"/>
                <w:sz w:val="20"/>
              </w:rPr>
              <w:t>生产性生物资产（树木、果木）</w:t>
            </w:r>
          </w:p>
        </w:tc>
        <w:tc>
          <w:tcPr>
            <w:tcW w:w="2109" w:type="pct"/>
            <w:tcBorders>
              <w:top w:val="single" w:sz="6" w:space="0" w:color="auto"/>
              <w:left w:val="single" w:sz="6" w:space="0" w:color="auto"/>
              <w:bottom w:val="single" w:sz="6" w:space="0" w:color="auto"/>
              <w:right w:val="single" w:sz="4" w:space="0" w:color="auto"/>
            </w:tcBorders>
            <w:noWrap/>
            <w:vAlign w:val="center"/>
            <w:hideMark/>
          </w:tcPr>
          <w:p w14:paraId="0207D8E7" w14:textId="034CBC4F" w:rsidR="002B5315" w:rsidRPr="00F53E0E" w:rsidRDefault="00F53E0E" w:rsidP="00ED773C">
            <w:pPr>
              <w:jc w:val="right"/>
              <w:rPr>
                <w:rFonts w:ascii="Times New Roman" w:hAnsi="Times New Roman" w:cs="Times New Roman"/>
                <w:sz w:val="20"/>
              </w:rPr>
            </w:pPr>
            <w:r w:rsidRPr="00F53E0E">
              <w:rPr>
                <w:rFonts w:ascii="Times New Roman" w:hAnsi="Times New Roman" w:cs="Times New Roman"/>
                <w:sz w:val="20"/>
              </w:rPr>
              <w:t>5,603.45</w:t>
            </w:r>
          </w:p>
        </w:tc>
      </w:tr>
      <w:tr w:rsidR="002B5315" w:rsidRPr="00F6033B" w14:paraId="64752CFC" w14:textId="77777777" w:rsidTr="00F53E0E">
        <w:trPr>
          <w:trHeight w:val="397"/>
        </w:trPr>
        <w:tc>
          <w:tcPr>
            <w:tcW w:w="479" w:type="pct"/>
            <w:tcBorders>
              <w:top w:val="single" w:sz="6" w:space="0" w:color="auto"/>
              <w:left w:val="single" w:sz="4" w:space="0" w:color="auto"/>
              <w:bottom w:val="single" w:sz="6" w:space="0" w:color="auto"/>
              <w:right w:val="single" w:sz="6" w:space="0" w:color="auto"/>
            </w:tcBorders>
            <w:noWrap/>
            <w:vAlign w:val="center"/>
            <w:hideMark/>
          </w:tcPr>
          <w:p w14:paraId="0B4F20BE" w14:textId="77777777" w:rsidR="002B5315" w:rsidRPr="00F53E0E" w:rsidRDefault="002B5315" w:rsidP="00ED773C">
            <w:pPr>
              <w:jc w:val="center"/>
              <w:rPr>
                <w:rFonts w:ascii="Times New Roman" w:hAnsi="Times New Roman" w:cs="Times New Roman"/>
                <w:sz w:val="20"/>
              </w:rPr>
            </w:pPr>
            <w:r w:rsidRPr="00F53E0E">
              <w:rPr>
                <w:rFonts w:ascii="Times New Roman" w:hAnsi="Times New Roman" w:cs="Times New Roman"/>
                <w:sz w:val="20"/>
              </w:rPr>
              <w:t>3</w:t>
            </w:r>
          </w:p>
        </w:tc>
        <w:tc>
          <w:tcPr>
            <w:tcW w:w="2412" w:type="pct"/>
            <w:tcBorders>
              <w:top w:val="single" w:sz="6" w:space="0" w:color="auto"/>
              <w:left w:val="single" w:sz="6" w:space="0" w:color="auto"/>
              <w:bottom w:val="single" w:sz="6" w:space="0" w:color="auto"/>
              <w:right w:val="single" w:sz="6" w:space="0" w:color="auto"/>
            </w:tcBorders>
            <w:noWrap/>
            <w:vAlign w:val="center"/>
            <w:hideMark/>
          </w:tcPr>
          <w:p w14:paraId="75A7C167" w14:textId="77777777" w:rsidR="002B5315" w:rsidRPr="00F53E0E" w:rsidRDefault="002B5315" w:rsidP="00ED773C">
            <w:pPr>
              <w:rPr>
                <w:rFonts w:ascii="Times New Roman" w:hAnsi="Times New Roman" w:cs="Times New Roman"/>
                <w:sz w:val="20"/>
              </w:rPr>
            </w:pPr>
            <w:r w:rsidRPr="00F53E0E">
              <w:rPr>
                <w:rFonts w:ascii="Times New Roman" w:hAnsi="Times New Roman" w:cs="Times New Roman"/>
                <w:sz w:val="20"/>
              </w:rPr>
              <w:t>无形资产（兴寿镇两地块）</w:t>
            </w:r>
          </w:p>
        </w:tc>
        <w:tc>
          <w:tcPr>
            <w:tcW w:w="2109" w:type="pct"/>
            <w:tcBorders>
              <w:top w:val="single" w:sz="6" w:space="0" w:color="auto"/>
              <w:left w:val="single" w:sz="6" w:space="0" w:color="auto"/>
              <w:bottom w:val="single" w:sz="6" w:space="0" w:color="auto"/>
              <w:right w:val="single" w:sz="4" w:space="0" w:color="auto"/>
            </w:tcBorders>
            <w:noWrap/>
            <w:vAlign w:val="center"/>
            <w:hideMark/>
          </w:tcPr>
          <w:p w14:paraId="3FB38153" w14:textId="77777777" w:rsidR="002B5315" w:rsidRPr="00F53E0E" w:rsidRDefault="002B5315" w:rsidP="00ED773C">
            <w:pPr>
              <w:jc w:val="right"/>
              <w:rPr>
                <w:rFonts w:ascii="Times New Roman" w:hAnsi="Times New Roman" w:cs="Times New Roman"/>
                <w:sz w:val="20"/>
              </w:rPr>
            </w:pPr>
            <w:r w:rsidRPr="00F53E0E">
              <w:rPr>
                <w:rFonts w:ascii="Times New Roman" w:hAnsi="Times New Roman" w:cs="Times New Roman"/>
                <w:sz w:val="20"/>
              </w:rPr>
              <w:t>1,358.30</w:t>
            </w:r>
          </w:p>
        </w:tc>
      </w:tr>
      <w:tr w:rsidR="002B5315" w:rsidRPr="00F6033B" w14:paraId="66207EDB" w14:textId="77777777" w:rsidTr="00F53E0E">
        <w:trPr>
          <w:trHeight w:val="397"/>
        </w:trPr>
        <w:tc>
          <w:tcPr>
            <w:tcW w:w="2891" w:type="pct"/>
            <w:gridSpan w:val="2"/>
            <w:tcBorders>
              <w:top w:val="single" w:sz="6" w:space="0" w:color="auto"/>
              <w:left w:val="single" w:sz="4" w:space="0" w:color="auto"/>
              <w:bottom w:val="single" w:sz="4" w:space="0" w:color="auto"/>
              <w:right w:val="single" w:sz="6" w:space="0" w:color="auto"/>
            </w:tcBorders>
            <w:noWrap/>
            <w:vAlign w:val="center"/>
            <w:hideMark/>
          </w:tcPr>
          <w:p w14:paraId="7E4BA599" w14:textId="77777777" w:rsidR="002B5315" w:rsidRPr="00F53E0E" w:rsidRDefault="002B5315" w:rsidP="00ED773C">
            <w:pPr>
              <w:jc w:val="center"/>
              <w:rPr>
                <w:rFonts w:ascii="Times New Roman" w:hAnsi="Times New Roman" w:cs="Times New Roman"/>
                <w:b/>
                <w:sz w:val="20"/>
              </w:rPr>
            </w:pPr>
            <w:r w:rsidRPr="00F53E0E">
              <w:rPr>
                <w:rFonts w:ascii="Times New Roman" w:hAnsi="Times New Roman" w:cs="Times New Roman"/>
                <w:b/>
                <w:sz w:val="20"/>
              </w:rPr>
              <w:t>总计</w:t>
            </w:r>
          </w:p>
        </w:tc>
        <w:tc>
          <w:tcPr>
            <w:tcW w:w="2109" w:type="pct"/>
            <w:tcBorders>
              <w:top w:val="single" w:sz="6" w:space="0" w:color="auto"/>
              <w:left w:val="single" w:sz="6" w:space="0" w:color="auto"/>
              <w:bottom w:val="single" w:sz="4" w:space="0" w:color="auto"/>
              <w:right w:val="single" w:sz="4" w:space="0" w:color="auto"/>
            </w:tcBorders>
            <w:noWrap/>
            <w:vAlign w:val="center"/>
            <w:hideMark/>
          </w:tcPr>
          <w:p w14:paraId="371CC78F" w14:textId="52781F49" w:rsidR="002B5315" w:rsidRPr="00F53E0E" w:rsidRDefault="00F53E0E" w:rsidP="00ED773C">
            <w:pPr>
              <w:jc w:val="right"/>
              <w:rPr>
                <w:rFonts w:ascii="Times New Roman" w:hAnsi="Times New Roman" w:cs="Times New Roman"/>
                <w:b/>
                <w:sz w:val="20"/>
              </w:rPr>
            </w:pPr>
            <w:r w:rsidRPr="00F53E0E">
              <w:rPr>
                <w:rFonts w:ascii="Times New Roman" w:hAnsi="Times New Roman" w:cs="Times New Roman"/>
                <w:b/>
                <w:sz w:val="20"/>
              </w:rPr>
              <w:t>8,801.64</w:t>
            </w:r>
          </w:p>
        </w:tc>
      </w:tr>
    </w:tbl>
    <w:p w14:paraId="07AF8376" w14:textId="77777777" w:rsidR="002B5315" w:rsidRPr="002B5315" w:rsidRDefault="002B5315" w:rsidP="002B5315">
      <w:pPr>
        <w:spacing w:line="360" w:lineRule="auto"/>
        <w:ind w:firstLineChars="200" w:firstLine="480"/>
        <w:rPr>
          <w:rFonts w:ascii="Times New Roman" w:hAnsi="Times New Roman" w:cs="Times New Roman"/>
          <w:sz w:val="24"/>
          <w:szCs w:val="28"/>
        </w:rPr>
      </w:pPr>
      <w:bookmarkStart w:id="3" w:name="_Hlk9253773"/>
      <w:r w:rsidRPr="002B5315">
        <w:rPr>
          <w:rFonts w:ascii="Times New Roman" w:hAnsi="Times New Roman" w:cs="Times New Roman" w:hint="eastAsia"/>
          <w:sz w:val="24"/>
          <w:szCs w:val="28"/>
        </w:rPr>
        <w:t>具体详见附件</w:t>
      </w:r>
      <w:r w:rsidRPr="002B5315">
        <w:rPr>
          <w:rFonts w:ascii="Times New Roman" w:hAnsi="Times New Roman" w:cs="Times New Roman" w:hint="eastAsia"/>
          <w:sz w:val="24"/>
          <w:szCs w:val="28"/>
        </w:rPr>
        <w:t>--</w:t>
      </w:r>
      <w:r w:rsidRPr="002B5315">
        <w:rPr>
          <w:rFonts w:ascii="Times New Roman" w:hAnsi="Times New Roman" w:cs="Times New Roman" w:hint="eastAsia"/>
          <w:sz w:val="24"/>
          <w:szCs w:val="28"/>
        </w:rPr>
        <w:t>资产评估结果汇总表（兴寿草莓园）。</w:t>
      </w:r>
    </w:p>
    <w:p w14:paraId="7352E88E" w14:textId="1D05B2B5" w:rsidR="002B5315" w:rsidRPr="002B5315" w:rsidRDefault="002B5315" w:rsidP="002B5315">
      <w:pPr>
        <w:spacing w:line="360" w:lineRule="auto"/>
        <w:ind w:firstLineChars="200" w:firstLine="482"/>
        <w:rPr>
          <w:rFonts w:ascii="Times New Roman" w:hAnsi="Times New Roman" w:cs="Times New Roman"/>
          <w:sz w:val="24"/>
          <w:szCs w:val="28"/>
        </w:rPr>
      </w:pPr>
      <w:bookmarkStart w:id="4" w:name="_Hlk9254917"/>
      <w:bookmarkEnd w:id="3"/>
      <w:r w:rsidRPr="002B5315">
        <w:rPr>
          <w:rFonts w:ascii="Times New Roman" w:hAnsi="Times New Roman" w:cs="Times New Roman" w:hint="eastAsia"/>
          <w:b/>
          <w:bCs/>
          <w:sz w:val="24"/>
          <w:szCs w:val="28"/>
        </w:rPr>
        <w:t>(</w:t>
      </w:r>
      <w:r w:rsidRPr="002B5315">
        <w:rPr>
          <w:rFonts w:ascii="Times New Roman" w:hAnsi="Times New Roman" w:cs="Times New Roman" w:hint="eastAsia"/>
          <w:b/>
          <w:bCs/>
          <w:sz w:val="24"/>
          <w:szCs w:val="28"/>
        </w:rPr>
        <w:t>二</w:t>
      </w:r>
      <w:r w:rsidRPr="002B5315">
        <w:rPr>
          <w:rFonts w:ascii="Times New Roman" w:hAnsi="Times New Roman" w:cs="Times New Roman"/>
          <w:b/>
          <w:bCs/>
          <w:sz w:val="24"/>
          <w:szCs w:val="28"/>
        </w:rPr>
        <w:t>)</w:t>
      </w:r>
      <w:r w:rsidRPr="002B5315">
        <w:rPr>
          <w:rFonts w:ascii="Times New Roman" w:hAnsi="Times New Roman" w:cs="Times New Roman" w:hint="eastAsia"/>
          <w:b/>
          <w:bCs/>
          <w:sz w:val="24"/>
          <w:szCs w:val="28"/>
        </w:rPr>
        <w:t>桃花草莓园</w:t>
      </w:r>
      <w:bookmarkEnd w:id="4"/>
      <w:r w:rsidRPr="002B5315">
        <w:rPr>
          <w:rFonts w:ascii="Times New Roman" w:hAnsi="Times New Roman" w:cs="Times New Roman" w:hint="eastAsia"/>
          <w:b/>
          <w:bCs/>
          <w:sz w:val="24"/>
          <w:szCs w:val="28"/>
        </w:rPr>
        <w:t>：</w:t>
      </w:r>
      <w:r w:rsidRPr="002B5315">
        <w:rPr>
          <w:rFonts w:ascii="Times New Roman" w:hAnsi="Times New Roman" w:cs="Times New Roman" w:hint="eastAsia"/>
          <w:sz w:val="24"/>
          <w:szCs w:val="28"/>
        </w:rPr>
        <w:t>享有的土地承包权及相应地上物（地上建筑物、构筑物、附属设施、树木、果木）的评估价值为人民币</w:t>
      </w:r>
      <w:r w:rsidR="00F53E0E" w:rsidRPr="00F53E0E">
        <w:rPr>
          <w:rFonts w:ascii="Times New Roman" w:hAnsi="Times New Roman" w:cs="Times New Roman"/>
          <w:sz w:val="24"/>
          <w:szCs w:val="28"/>
        </w:rPr>
        <w:t>25,314.48</w:t>
      </w:r>
      <w:r w:rsidRPr="002B5315">
        <w:rPr>
          <w:rFonts w:ascii="Times New Roman" w:hAnsi="Times New Roman" w:cs="Times New Roman" w:hint="eastAsia"/>
          <w:sz w:val="24"/>
          <w:szCs w:val="28"/>
        </w:rPr>
        <w:t>万元（金额大写：人民币贰亿</w:t>
      </w:r>
      <w:r w:rsidR="00F53E0E">
        <w:rPr>
          <w:rFonts w:ascii="Times New Roman" w:hAnsi="Times New Roman" w:cs="Times New Roman" w:hint="eastAsia"/>
          <w:sz w:val="24"/>
          <w:szCs w:val="28"/>
        </w:rPr>
        <w:t>伍</w:t>
      </w:r>
      <w:r w:rsidRPr="002B5315">
        <w:rPr>
          <w:rFonts w:ascii="Times New Roman" w:hAnsi="Times New Roman" w:cs="Times New Roman" w:hint="eastAsia"/>
          <w:sz w:val="24"/>
          <w:szCs w:val="28"/>
        </w:rPr>
        <w:t>仟</w:t>
      </w:r>
      <w:r w:rsidR="00F53E0E">
        <w:rPr>
          <w:rFonts w:ascii="Times New Roman" w:hAnsi="Times New Roman" w:cs="Times New Roman" w:hint="eastAsia"/>
          <w:sz w:val="24"/>
          <w:szCs w:val="28"/>
        </w:rPr>
        <w:t>叁</w:t>
      </w:r>
      <w:r w:rsidRPr="002B5315">
        <w:rPr>
          <w:rFonts w:ascii="Times New Roman" w:hAnsi="Times New Roman" w:cs="Times New Roman" w:hint="eastAsia"/>
          <w:sz w:val="24"/>
          <w:szCs w:val="28"/>
        </w:rPr>
        <w:t>佰</w:t>
      </w:r>
      <w:r w:rsidR="00F53E0E">
        <w:rPr>
          <w:rFonts w:ascii="Times New Roman" w:hAnsi="Times New Roman" w:cs="Times New Roman" w:hint="eastAsia"/>
          <w:sz w:val="24"/>
          <w:szCs w:val="28"/>
        </w:rPr>
        <w:t>壹</w:t>
      </w:r>
      <w:r w:rsidRPr="002B5315">
        <w:rPr>
          <w:rFonts w:ascii="Times New Roman" w:hAnsi="Times New Roman" w:cs="Times New Roman" w:hint="eastAsia"/>
          <w:sz w:val="24"/>
          <w:szCs w:val="28"/>
        </w:rPr>
        <w:t>拾</w:t>
      </w:r>
      <w:r w:rsidR="00F53E0E">
        <w:rPr>
          <w:rFonts w:ascii="Times New Roman" w:hAnsi="Times New Roman" w:cs="Times New Roman" w:hint="eastAsia"/>
          <w:sz w:val="24"/>
          <w:szCs w:val="28"/>
        </w:rPr>
        <w:t>肆</w:t>
      </w:r>
      <w:r w:rsidRPr="002B5315">
        <w:rPr>
          <w:rFonts w:ascii="Times New Roman" w:hAnsi="Times New Roman" w:cs="Times New Roman" w:hint="eastAsia"/>
          <w:sz w:val="24"/>
          <w:szCs w:val="28"/>
        </w:rPr>
        <w:t>万</w:t>
      </w:r>
      <w:r w:rsidR="00F53E0E">
        <w:rPr>
          <w:rFonts w:ascii="Times New Roman" w:hAnsi="Times New Roman" w:cs="Times New Roman" w:hint="eastAsia"/>
          <w:sz w:val="24"/>
          <w:szCs w:val="28"/>
        </w:rPr>
        <w:t>肆</w:t>
      </w:r>
      <w:r w:rsidRPr="002B5315">
        <w:rPr>
          <w:rFonts w:ascii="Times New Roman" w:hAnsi="Times New Roman" w:cs="Times New Roman" w:hint="eastAsia"/>
          <w:sz w:val="24"/>
          <w:szCs w:val="28"/>
        </w:rPr>
        <w:t>仟捌佰元整）。</w:t>
      </w:r>
    </w:p>
    <w:p w14:paraId="72BCB5E7" w14:textId="4509C200" w:rsidR="001F1921" w:rsidRPr="002B5315" w:rsidRDefault="001F1921" w:rsidP="001F1921">
      <w:pPr>
        <w:spacing w:line="360" w:lineRule="auto"/>
        <w:ind w:firstLineChars="200" w:firstLine="482"/>
        <w:jc w:val="right"/>
        <w:rPr>
          <w:rFonts w:ascii="Times New Roman" w:hAnsi="Times New Roman" w:cs="Times New Roman"/>
          <w:sz w:val="24"/>
          <w:szCs w:val="28"/>
        </w:rPr>
      </w:pPr>
      <w:r w:rsidRPr="00F53E0E">
        <w:rPr>
          <w:rFonts w:ascii="Times New Roman" w:hAnsi="Times New Roman" w:cs="Times New Roman" w:hint="eastAsia"/>
          <w:b/>
          <w:bCs/>
          <w:sz w:val="24"/>
          <w:szCs w:val="28"/>
        </w:rPr>
        <w:t>成本法评估结论汇总表</w:t>
      </w:r>
      <w:r>
        <w:rPr>
          <w:rFonts w:ascii="Times New Roman" w:hAnsi="Times New Roman" w:cs="Times New Roman" w:hint="eastAsia"/>
          <w:b/>
          <w:bCs/>
          <w:sz w:val="24"/>
          <w:szCs w:val="28"/>
        </w:rPr>
        <w:t>(</w:t>
      </w:r>
      <w:r>
        <w:rPr>
          <w:rFonts w:ascii="Times New Roman" w:hAnsi="Times New Roman" w:cs="Times New Roman" w:hint="eastAsia"/>
          <w:b/>
          <w:bCs/>
          <w:sz w:val="24"/>
          <w:szCs w:val="28"/>
        </w:rPr>
        <w:t>二</w:t>
      </w:r>
      <w:r>
        <w:rPr>
          <w:rFonts w:ascii="Times New Roman" w:hAnsi="Times New Roman" w:cs="Times New Roman"/>
          <w:b/>
          <w:bCs/>
          <w:sz w:val="24"/>
          <w:szCs w:val="28"/>
        </w:rPr>
        <w:t>)</w:t>
      </w:r>
      <w:r>
        <w:rPr>
          <w:rFonts w:ascii="Times New Roman" w:hAnsi="Times New Roman" w:cs="Times New Roman" w:hint="eastAsia"/>
          <w:sz w:val="24"/>
          <w:szCs w:val="28"/>
        </w:rPr>
        <w:t xml:space="preserve"> </w:t>
      </w:r>
      <w:r w:rsidRPr="002B5315">
        <w:rPr>
          <w:rFonts w:ascii="Times New Roman" w:hAnsi="Times New Roman" w:cs="Times New Roman" w:hint="eastAsia"/>
          <w:sz w:val="24"/>
          <w:szCs w:val="28"/>
        </w:rPr>
        <w:t xml:space="preserve"> </w:t>
      </w:r>
      <w:r>
        <w:rPr>
          <w:rFonts w:ascii="Times New Roman" w:hAnsi="Times New Roman" w:cs="Times New Roman" w:hint="eastAsia"/>
          <w:sz w:val="24"/>
          <w:szCs w:val="28"/>
        </w:rPr>
        <w:t xml:space="preserve"> </w:t>
      </w:r>
      <w:r w:rsidRPr="002B5315">
        <w:rPr>
          <w:rFonts w:ascii="Times New Roman" w:hAnsi="Times New Roman" w:cs="Times New Roman" w:hint="eastAsia"/>
          <w:sz w:val="24"/>
          <w:szCs w:val="28"/>
        </w:rPr>
        <w:t xml:space="preserve">       </w:t>
      </w:r>
      <w:r w:rsidRPr="002B5315">
        <w:rPr>
          <w:rFonts w:ascii="Times New Roman" w:hAnsi="Times New Roman" w:cs="Times New Roman" w:hint="eastAsia"/>
          <w:sz w:val="24"/>
          <w:szCs w:val="28"/>
        </w:rPr>
        <w:t>金额单位：万元</w:t>
      </w:r>
    </w:p>
    <w:tbl>
      <w:tblPr>
        <w:tblW w:w="5000" w:type="pct"/>
        <w:tblLayout w:type="fixed"/>
        <w:tblLook w:val="04A0" w:firstRow="1" w:lastRow="0" w:firstColumn="1" w:lastColumn="0" w:noHBand="0" w:noVBand="1"/>
      </w:tblPr>
      <w:tblGrid>
        <w:gridCol w:w="816"/>
        <w:gridCol w:w="4111"/>
        <w:gridCol w:w="3595"/>
      </w:tblGrid>
      <w:tr w:rsidR="00F53E0E" w:rsidRPr="00F6033B" w14:paraId="0F3780D7" w14:textId="77777777" w:rsidTr="00F53E0E">
        <w:trPr>
          <w:trHeight w:val="397"/>
        </w:trPr>
        <w:tc>
          <w:tcPr>
            <w:tcW w:w="479" w:type="pct"/>
            <w:tcBorders>
              <w:top w:val="single" w:sz="4" w:space="0" w:color="auto"/>
              <w:left w:val="single" w:sz="4" w:space="0" w:color="auto"/>
              <w:bottom w:val="single" w:sz="6" w:space="0" w:color="auto"/>
              <w:right w:val="single" w:sz="6" w:space="0" w:color="auto"/>
            </w:tcBorders>
            <w:noWrap/>
            <w:vAlign w:val="center"/>
            <w:hideMark/>
          </w:tcPr>
          <w:p w14:paraId="671BA39B" w14:textId="126A06C9" w:rsidR="00F53E0E" w:rsidRPr="00F6033B" w:rsidRDefault="00F53E0E" w:rsidP="00F53E0E">
            <w:pPr>
              <w:jc w:val="center"/>
              <w:rPr>
                <w:rFonts w:asciiTheme="minorEastAsia" w:hAnsiTheme="minorEastAsia"/>
                <w:sz w:val="20"/>
              </w:rPr>
            </w:pPr>
            <w:r w:rsidRPr="00F53E0E">
              <w:rPr>
                <w:rFonts w:ascii="Times New Roman" w:hAnsi="Times New Roman" w:cs="Times New Roman"/>
                <w:b/>
                <w:bCs/>
                <w:sz w:val="20"/>
              </w:rPr>
              <w:t>序号</w:t>
            </w:r>
          </w:p>
        </w:tc>
        <w:tc>
          <w:tcPr>
            <w:tcW w:w="2412" w:type="pct"/>
            <w:tcBorders>
              <w:top w:val="single" w:sz="4" w:space="0" w:color="auto"/>
              <w:left w:val="single" w:sz="6" w:space="0" w:color="auto"/>
              <w:bottom w:val="single" w:sz="6" w:space="0" w:color="auto"/>
              <w:right w:val="single" w:sz="6" w:space="0" w:color="auto"/>
            </w:tcBorders>
            <w:noWrap/>
            <w:vAlign w:val="center"/>
            <w:hideMark/>
          </w:tcPr>
          <w:p w14:paraId="2A606CA4" w14:textId="0B3ED189" w:rsidR="00F53E0E" w:rsidRPr="00F6033B" w:rsidRDefault="00F53E0E" w:rsidP="00F53E0E">
            <w:pPr>
              <w:jc w:val="center"/>
              <w:rPr>
                <w:rFonts w:asciiTheme="minorEastAsia" w:hAnsiTheme="minorEastAsia"/>
                <w:sz w:val="20"/>
              </w:rPr>
            </w:pPr>
            <w:r w:rsidRPr="00F53E0E">
              <w:rPr>
                <w:rFonts w:ascii="Times New Roman" w:hAnsi="Times New Roman" w:cs="Times New Roman"/>
                <w:b/>
                <w:bCs/>
                <w:sz w:val="20"/>
              </w:rPr>
              <w:t>项</w:t>
            </w:r>
            <w:r w:rsidRPr="00F53E0E">
              <w:rPr>
                <w:rFonts w:ascii="Times New Roman" w:hAnsi="Times New Roman" w:cs="Times New Roman"/>
                <w:b/>
                <w:bCs/>
                <w:sz w:val="20"/>
              </w:rPr>
              <w:t xml:space="preserve">      </w:t>
            </w:r>
            <w:r w:rsidRPr="00F53E0E">
              <w:rPr>
                <w:rFonts w:ascii="Times New Roman" w:hAnsi="Times New Roman" w:cs="Times New Roman"/>
                <w:b/>
                <w:bCs/>
                <w:sz w:val="20"/>
              </w:rPr>
              <w:t>目</w:t>
            </w:r>
          </w:p>
        </w:tc>
        <w:tc>
          <w:tcPr>
            <w:tcW w:w="2109" w:type="pct"/>
            <w:tcBorders>
              <w:top w:val="single" w:sz="4" w:space="0" w:color="auto"/>
              <w:left w:val="single" w:sz="6" w:space="0" w:color="auto"/>
              <w:bottom w:val="single" w:sz="6" w:space="0" w:color="auto"/>
              <w:right w:val="single" w:sz="4" w:space="0" w:color="auto"/>
            </w:tcBorders>
            <w:noWrap/>
            <w:vAlign w:val="center"/>
            <w:hideMark/>
          </w:tcPr>
          <w:p w14:paraId="5034A8AB" w14:textId="09308310" w:rsidR="00F53E0E" w:rsidRPr="00F6033B" w:rsidRDefault="00F53E0E" w:rsidP="00F53E0E">
            <w:pPr>
              <w:jc w:val="center"/>
              <w:rPr>
                <w:rFonts w:asciiTheme="minorEastAsia" w:hAnsiTheme="minorEastAsia"/>
                <w:sz w:val="20"/>
              </w:rPr>
            </w:pPr>
            <w:r w:rsidRPr="00F53E0E">
              <w:rPr>
                <w:rFonts w:ascii="Times New Roman" w:hAnsi="Times New Roman" w:cs="Times New Roman"/>
                <w:b/>
                <w:bCs/>
                <w:sz w:val="20"/>
              </w:rPr>
              <w:t>评估价值</w:t>
            </w:r>
          </w:p>
        </w:tc>
      </w:tr>
      <w:tr w:rsidR="002B5315" w:rsidRPr="00F6033B" w14:paraId="4842C400" w14:textId="77777777" w:rsidTr="00F53E0E">
        <w:trPr>
          <w:trHeight w:val="397"/>
        </w:trPr>
        <w:tc>
          <w:tcPr>
            <w:tcW w:w="479" w:type="pct"/>
            <w:tcBorders>
              <w:top w:val="single" w:sz="6" w:space="0" w:color="auto"/>
              <w:left w:val="single" w:sz="4" w:space="0" w:color="auto"/>
              <w:bottom w:val="single" w:sz="6" w:space="0" w:color="auto"/>
              <w:right w:val="single" w:sz="6" w:space="0" w:color="auto"/>
            </w:tcBorders>
            <w:noWrap/>
            <w:vAlign w:val="center"/>
            <w:hideMark/>
          </w:tcPr>
          <w:p w14:paraId="5F566DFA" w14:textId="77777777" w:rsidR="002B5315" w:rsidRPr="00F53E0E" w:rsidRDefault="002B5315" w:rsidP="00ED773C">
            <w:pPr>
              <w:jc w:val="center"/>
              <w:rPr>
                <w:rFonts w:ascii="Times New Roman" w:hAnsi="Times New Roman" w:cs="Times New Roman"/>
                <w:sz w:val="20"/>
              </w:rPr>
            </w:pPr>
            <w:r w:rsidRPr="00F53E0E">
              <w:rPr>
                <w:rFonts w:ascii="Times New Roman" w:hAnsi="Times New Roman" w:cs="Times New Roman"/>
                <w:sz w:val="20"/>
              </w:rPr>
              <w:t>1</w:t>
            </w:r>
          </w:p>
        </w:tc>
        <w:tc>
          <w:tcPr>
            <w:tcW w:w="2412" w:type="pct"/>
            <w:tcBorders>
              <w:top w:val="single" w:sz="6" w:space="0" w:color="auto"/>
              <w:left w:val="single" w:sz="6" w:space="0" w:color="auto"/>
              <w:bottom w:val="single" w:sz="6" w:space="0" w:color="auto"/>
              <w:right w:val="single" w:sz="6" w:space="0" w:color="auto"/>
            </w:tcBorders>
            <w:noWrap/>
            <w:vAlign w:val="center"/>
            <w:hideMark/>
          </w:tcPr>
          <w:p w14:paraId="11C600AA" w14:textId="77777777" w:rsidR="002B5315" w:rsidRPr="00F53E0E" w:rsidRDefault="002B5315" w:rsidP="00ED773C">
            <w:pPr>
              <w:rPr>
                <w:rFonts w:ascii="Times New Roman" w:hAnsi="Times New Roman" w:cs="Times New Roman"/>
                <w:sz w:val="20"/>
              </w:rPr>
            </w:pPr>
            <w:r w:rsidRPr="00F53E0E">
              <w:rPr>
                <w:rFonts w:ascii="Times New Roman" w:hAnsi="Times New Roman" w:cs="Times New Roman"/>
                <w:sz w:val="20"/>
              </w:rPr>
              <w:t>固定资产（地上建筑物、构筑物、附属设施）</w:t>
            </w:r>
          </w:p>
        </w:tc>
        <w:tc>
          <w:tcPr>
            <w:tcW w:w="2109" w:type="pct"/>
            <w:tcBorders>
              <w:top w:val="single" w:sz="6" w:space="0" w:color="auto"/>
              <w:left w:val="single" w:sz="6" w:space="0" w:color="auto"/>
              <w:bottom w:val="single" w:sz="6" w:space="0" w:color="auto"/>
              <w:right w:val="single" w:sz="4" w:space="0" w:color="auto"/>
            </w:tcBorders>
            <w:noWrap/>
            <w:vAlign w:val="center"/>
            <w:hideMark/>
          </w:tcPr>
          <w:p w14:paraId="7414425C" w14:textId="45DDDA86" w:rsidR="002B5315" w:rsidRPr="00F53E0E" w:rsidRDefault="00F53E0E" w:rsidP="00ED773C">
            <w:pPr>
              <w:jc w:val="right"/>
              <w:rPr>
                <w:rFonts w:ascii="Times New Roman" w:hAnsi="Times New Roman" w:cs="Times New Roman"/>
                <w:sz w:val="20"/>
              </w:rPr>
            </w:pPr>
            <w:r w:rsidRPr="00F53E0E">
              <w:rPr>
                <w:rFonts w:ascii="Times New Roman" w:hAnsi="Times New Roman" w:cs="Times New Roman"/>
                <w:sz w:val="20"/>
              </w:rPr>
              <w:t>9,977.06</w:t>
            </w:r>
          </w:p>
        </w:tc>
      </w:tr>
      <w:tr w:rsidR="002B5315" w:rsidRPr="00F6033B" w14:paraId="60AF992B" w14:textId="77777777" w:rsidTr="00F53E0E">
        <w:trPr>
          <w:trHeight w:val="397"/>
        </w:trPr>
        <w:tc>
          <w:tcPr>
            <w:tcW w:w="479" w:type="pct"/>
            <w:tcBorders>
              <w:top w:val="single" w:sz="6" w:space="0" w:color="auto"/>
              <w:left w:val="single" w:sz="4" w:space="0" w:color="auto"/>
              <w:bottom w:val="single" w:sz="6" w:space="0" w:color="auto"/>
              <w:right w:val="single" w:sz="6" w:space="0" w:color="auto"/>
            </w:tcBorders>
            <w:noWrap/>
            <w:vAlign w:val="center"/>
            <w:hideMark/>
          </w:tcPr>
          <w:p w14:paraId="44660226" w14:textId="77777777" w:rsidR="002B5315" w:rsidRPr="00F53E0E" w:rsidRDefault="002B5315" w:rsidP="00ED773C">
            <w:pPr>
              <w:jc w:val="center"/>
              <w:rPr>
                <w:rFonts w:ascii="Times New Roman" w:hAnsi="Times New Roman" w:cs="Times New Roman"/>
                <w:sz w:val="20"/>
              </w:rPr>
            </w:pPr>
            <w:r w:rsidRPr="00F53E0E">
              <w:rPr>
                <w:rFonts w:ascii="Times New Roman" w:hAnsi="Times New Roman" w:cs="Times New Roman"/>
                <w:sz w:val="20"/>
              </w:rPr>
              <w:t>2</w:t>
            </w:r>
          </w:p>
        </w:tc>
        <w:tc>
          <w:tcPr>
            <w:tcW w:w="2412" w:type="pct"/>
            <w:tcBorders>
              <w:top w:val="single" w:sz="6" w:space="0" w:color="auto"/>
              <w:left w:val="single" w:sz="6" w:space="0" w:color="auto"/>
              <w:bottom w:val="single" w:sz="6" w:space="0" w:color="auto"/>
              <w:right w:val="single" w:sz="6" w:space="0" w:color="auto"/>
            </w:tcBorders>
            <w:noWrap/>
            <w:vAlign w:val="center"/>
            <w:hideMark/>
          </w:tcPr>
          <w:p w14:paraId="186D56F4" w14:textId="77777777" w:rsidR="002B5315" w:rsidRPr="00F53E0E" w:rsidRDefault="002B5315" w:rsidP="00ED773C">
            <w:pPr>
              <w:rPr>
                <w:rFonts w:ascii="Times New Roman" w:hAnsi="Times New Roman" w:cs="Times New Roman"/>
                <w:sz w:val="20"/>
              </w:rPr>
            </w:pPr>
            <w:r w:rsidRPr="00F53E0E">
              <w:rPr>
                <w:rFonts w:ascii="Times New Roman" w:hAnsi="Times New Roman" w:cs="Times New Roman"/>
                <w:sz w:val="20"/>
              </w:rPr>
              <w:t>在建工程</w:t>
            </w:r>
          </w:p>
        </w:tc>
        <w:tc>
          <w:tcPr>
            <w:tcW w:w="2109" w:type="pct"/>
            <w:tcBorders>
              <w:top w:val="single" w:sz="6" w:space="0" w:color="auto"/>
              <w:left w:val="single" w:sz="6" w:space="0" w:color="auto"/>
              <w:bottom w:val="single" w:sz="6" w:space="0" w:color="auto"/>
              <w:right w:val="single" w:sz="4" w:space="0" w:color="auto"/>
            </w:tcBorders>
            <w:noWrap/>
            <w:vAlign w:val="center"/>
            <w:hideMark/>
          </w:tcPr>
          <w:p w14:paraId="35AD9EBD" w14:textId="36EA2EF9" w:rsidR="002B5315" w:rsidRPr="00F53E0E" w:rsidRDefault="00F53E0E" w:rsidP="00ED773C">
            <w:pPr>
              <w:jc w:val="right"/>
              <w:rPr>
                <w:rFonts w:ascii="Times New Roman" w:hAnsi="Times New Roman" w:cs="Times New Roman"/>
                <w:sz w:val="20"/>
              </w:rPr>
            </w:pPr>
            <w:r w:rsidRPr="00F53E0E">
              <w:rPr>
                <w:rFonts w:ascii="Times New Roman" w:hAnsi="Times New Roman" w:cs="Times New Roman"/>
                <w:sz w:val="20"/>
              </w:rPr>
              <w:t>84.92</w:t>
            </w:r>
          </w:p>
        </w:tc>
      </w:tr>
      <w:tr w:rsidR="002B5315" w:rsidRPr="00F6033B" w14:paraId="1187490B" w14:textId="77777777" w:rsidTr="00F53E0E">
        <w:trPr>
          <w:trHeight w:val="397"/>
        </w:trPr>
        <w:tc>
          <w:tcPr>
            <w:tcW w:w="479" w:type="pct"/>
            <w:tcBorders>
              <w:top w:val="single" w:sz="6" w:space="0" w:color="auto"/>
              <w:left w:val="single" w:sz="4" w:space="0" w:color="auto"/>
              <w:bottom w:val="single" w:sz="6" w:space="0" w:color="auto"/>
              <w:right w:val="single" w:sz="6" w:space="0" w:color="auto"/>
            </w:tcBorders>
            <w:noWrap/>
            <w:vAlign w:val="center"/>
            <w:hideMark/>
          </w:tcPr>
          <w:p w14:paraId="4B93DEA9" w14:textId="77777777" w:rsidR="002B5315" w:rsidRPr="00F53E0E" w:rsidRDefault="002B5315" w:rsidP="00ED773C">
            <w:pPr>
              <w:jc w:val="center"/>
              <w:rPr>
                <w:rFonts w:ascii="Times New Roman" w:hAnsi="Times New Roman" w:cs="Times New Roman"/>
                <w:sz w:val="20"/>
              </w:rPr>
            </w:pPr>
            <w:r w:rsidRPr="00F53E0E">
              <w:rPr>
                <w:rFonts w:ascii="Times New Roman" w:hAnsi="Times New Roman" w:cs="Times New Roman"/>
                <w:sz w:val="20"/>
              </w:rPr>
              <w:t>3</w:t>
            </w:r>
          </w:p>
        </w:tc>
        <w:tc>
          <w:tcPr>
            <w:tcW w:w="2412" w:type="pct"/>
            <w:tcBorders>
              <w:top w:val="single" w:sz="6" w:space="0" w:color="auto"/>
              <w:left w:val="single" w:sz="6" w:space="0" w:color="auto"/>
              <w:bottom w:val="single" w:sz="6" w:space="0" w:color="auto"/>
              <w:right w:val="single" w:sz="6" w:space="0" w:color="auto"/>
            </w:tcBorders>
            <w:noWrap/>
            <w:vAlign w:val="center"/>
            <w:hideMark/>
          </w:tcPr>
          <w:p w14:paraId="02D1E3A6" w14:textId="77777777" w:rsidR="002B5315" w:rsidRPr="00F53E0E" w:rsidRDefault="002B5315" w:rsidP="00ED773C">
            <w:pPr>
              <w:rPr>
                <w:rFonts w:ascii="Times New Roman" w:hAnsi="Times New Roman" w:cs="Times New Roman"/>
                <w:sz w:val="20"/>
              </w:rPr>
            </w:pPr>
            <w:r w:rsidRPr="00F53E0E">
              <w:rPr>
                <w:rFonts w:ascii="Times New Roman" w:hAnsi="Times New Roman" w:cs="Times New Roman"/>
                <w:sz w:val="20"/>
              </w:rPr>
              <w:t>生产性生物资产（树木、果木）</w:t>
            </w:r>
          </w:p>
        </w:tc>
        <w:tc>
          <w:tcPr>
            <w:tcW w:w="2109" w:type="pct"/>
            <w:tcBorders>
              <w:top w:val="single" w:sz="6" w:space="0" w:color="auto"/>
              <w:left w:val="single" w:sz="6" w:space="0" w:color="auto"/>
              <w:bottom w:val="single" w:sz="6" w:space="0" w:color="auto"/>
              <w:right w:val="single" w:sz="4" w:space="0" w:color="auto"/>
            </w:tcBorders>
            <w:noWrap/>
            <w:vAlign w:val="center"/>
            <w:hideMark/>
          </w:tcPr>
          <w:p w14:paraId="4916FA25" w14:textId="72862FC0" w:rsidR="002B5315" w:rsidRPr="00F53E0E" w:rsidRDefault="00F53E0E" w:rsidP="00ED773C">
            <w:pPr>
              <w:jc w:val="right"/>
              <w:rPr>
                <w:rFonts w:ascii="Times New Roman" w:hAnsi="Times New Roman" w:cs="Times New Roman"/>
                <w:sz w:val="20"/>
              </w:rPr>
            </w:pPr>
            <w:r w:rsidRPr="00F53E0E">
              <w:rPr>
                <w:rFonts w:ascii="Times New Roman" w:hAnsi="Times New Roman" w:cs="Times New Roman"/>
                <w:sz w:val="20"/>
              </w:rPr>
              <w:t>10,692.90</w:t>
            </w:r>
          </w:p>
        </w:tc>
      </w:tr>
      <w:tr w:rsidR="002B5315" w:rsidRPr="00F6033B" w14:paraId="3B61F92E" w14:textId="77777777" w:rsidTr="00F53E0E">
        <w:trPr>
          <w:trHeight w:val="397"/>
        </w:trPr>
        <w:tc>
          <w:tcPr>
            <w:tcW w:w="479" w:type="pct"/>
            <w:tcBorders>
              <w:top w:val="single" w:sz="6" w:space="0" w:color="auto"/>
              <w:left w:val="single" w:sz="4" w:space="0" w:color="auto"/>
              <w:bottom w:val="single" w:sz="6" w:space="0" w:color="auto"/>
              <w:right w:val="single" w:sz="6" w:space="0" w:color="auto"/>
            </w:tcBorders>
            <w:noWrap/>
            <w:vAlign w:val="center"/>
            <w:hideMark/>
          </w:tcPr>
          <w:p w14:paraId="0E09EF2F" w14:textId="77777777" w:rsidR="002B5315" w:rsidRPr="00F53E0E" w:rsidRDefault="002B5315" w:rsidP="00ED773C">
            <w:pPr>
              <w:jc w:val="center"/>
              <w:rPr>
                <w:rFonts w:ascii="Times New Roman" w:hAnsi="Times New Roman" w:cs="Times New Roman"/>
                <w:sz w:val="20"/>
              </w:rPr>
            </w:pPr>
            <w:r w:rsidRPr="00F53E0E">
              <w:rPr>
                <w:rFonts w:ascii="Times New Roman" w:hAnsi="Times New Roman" w:cs="Times New Roman"/>
                <w:sz w:val="20"/>
              </w:rPr>
              <w:t>4</w:t>
            </w:r>
          </w:p>
        </w:tc>
        <w:tc>
          <w:tcPr>
            <w:tcW w:w="2412" w:type="pct"/>
            <w:tcBorders>
              <w:top w:val="single" w:sz="6" w:space="0" w:color="auto"/>
              <w:left w:val="single" w:sz="6" w:space="0" w:color="auto"/>
              <w:bottom w:val="single" w:sz="6" w:space="0" w:color="auto"/>
              <w:right w:val="single" w:sz="6" w:space="0" w:color="auto"/>
            </w:tcBorders>
            <w:noWrap/>
            <w:vAlign w:val="center"/>
            <w:hideMark/>
          </w:tcPr>
          <w:p w14:paraId="2E299CCA" w14:textId="77777777" w:rsidR="002B5315" w:rsidRPr="00F53E0E" w:rsidRDefault="002B5315" w:rsidP="00ED773C">
            <w:pPr>
              <w:rPr>
                <w:rFonts w:ascii="Times New Roman" w:hAnsi="Times New Roman" w:cs="Times New Roman"/>
                <w:sz w:val="20"/>
              </w:rPr>
            </w:pPr>
            <w:r w:rsidRPr="00F53E0E">
              <w:rPr>
                <w:rFonts w:ascii="Times New Roman" w:hAnsi="Times New Roman" w:cs="Times New Roman"/>
                <w:sz w:val="20"/>
              </w:rPr>
              <w:t>无形资产（大辛峰地块、农业科技示范园地块）</w:t>
            </w:r>
          </w:p>
        </w:tc>
        <w:tc>
          <w:tcPr>
            <w:tcW w:w="2109" w:type="pct"/>
            <w:tcBorders>
              <w:top w:val="single" w:sz="6" w:space="0" w:color="auto"/>
              <w:left w:val="single" w:sz="6" w:space="0" w:color="auto"/>
              <w:bottom w:val="single" w:sz="6" w:space="0" w:color="auto"/>
              <w:right w:val="single" w:sz="4" w:space="0" w:color="auto"/>
            </w:tcBorders>
            <w:noWrap/>
            <w:vAlign w:val="center"/>
            <w:hideMark/>
          </w:tcPr>
          <w:p w14:paraId="0D70CC80" w14:textId="77777777" w:rsidR="002B5315" w:rsidRPr="00F53E0E" w:rsidRDefault="002B5315" w:rsidP="00ED773C">
            <w:pPr>
              <w:jc w:val="right"/>
              <w:rPr>
                <w:rFonts w:ascii="Times New Roman" w:hAnsi="Times New Roman" w:cs="Times New Roman"/>
                <w:sz w:val="20"/>
              </w:rPr>
            </w:pPr>
            <w:r w:rsidRPr="00F53E0E">
              <w:rPr>
                <w:rFonts w:ascii="Times New Roman" w:hAnsi="Times New Roman" w:cs="Times New Roman"/>
                <w:sz w:val="20"/>
              </w:rPr>
              <w:t>4,559.59</w:t>
            </w:r>
          </w:p>
        </w:tc>
      </w:tr>
      <w:tr w:rsidR="002B5315" w:rsidRPr="00F6033B" w14:paraId="477C7481" w14:textId="77777777" w:rsidTr="00F53E0E">
        <w:trPr>
          <w:trHeight w:val="397"/>
        </w:trPr>
        <w:tc>
          <w:tcPr>
            <w:tcW w:w="2891" w:type="pct"/>
            <w:gridSpan w:val="2"/>
            <w:tcBorders>
              <w:top w:val="single" w:sz="6" w:space="0" w:color="auto"/>
              <w:left w:val="single" w:sz="4" w:space="0" w:color="auto"/>
              <w:bottom w:val="single" w:sz="4" w:space="0" w:color="auto"/>
              <w:right w:val="single" w:sz="6" w:space="0" w:color="auto"/>
            </w:tcBorders>
            <w:noWrap/>
            <w:vAlign w:val="center"/>
            <w:hideMark/>
          </w:tcPr>
          <w:p w14:paraId="38A139C5" w14:textId="77777777" w:rsidR="002B5315" w:rsidRPr="00F53E0E" w:rsidRDefault="002B5315" w:rsidP="00ED773C">
            <w:pPr>
              <w:jc w:val="center"/>
              <w:rPr>
                <w:rFonts w:ascii="Times New Roman" w:hAnsi="Times New Roman" w:cs="Times New Roman"/>
                <w:b/>
                <w:sz w:val="20"/>
              </w:rPr>
            </w:pPr>
            <w:r w:rsidRPr="00F53E0E">
              <w:rPr>
                <w:rFonts w:ascii="Times New Roman" w:hAnsi="Times New Roman" w:cs="Times New Roman"/>
                <w:b/>
                <w:sz w:val="20"/>
              </w:rPr>
              <w:t>总计</w:t>
            </w:r>
          </w:p>
        </w:tc>
        <w:tc>
          <w:tcPr>
            <w:tcW w:w="2109" w:type="pct"/>
            <w:tcBorders>
              <w:top w:val="single" w:sz="6" w:space="0" w:color="auto"/>
              <w:left w:val="single" w:sz="6" w:space="0" w:color="auto"/>
              <w:bottom w:val="single" w:sz="4" w:space="0" w:color="auto"/>
              <w:right w:val="single" w:sz="4" w:space="0" w:color="auto"/>
            </w:tcBorders>
            <w:noWrap/>
            <w:vAlign w:val="center"/>
            <w:hideMark/>
          </w:tcPr>
          <w:p w14:paraId="1C320F2A" w14:textId="03EA001D" w:rsidR="002B5315" w:rsidRPr="00F53E0E" w:rsidRDefault="00F53E0E" w:rsidP="00ED773C">
            <w:pPr>
              <w:jc w:val="right"/>
              <w:rPr>
                <w:rFonts w:ascii="Times New Roman" w:hAnsi="Times New Roman" w:cs="Times New Roman"/>
                <w:b/>
                <w:sz w:val="20"/>
              </w:rPr>
            </w:pPr>
            <w:r w:rsidRPr="00F53E0E">
              <w:rPr>
                <w:rFonts w:ascii="Times New Roman" w:hAnsi="Times New Roman" w:cs="Times New Roman"/>
                <w:b/>
                <w:sz w:val="20"/>
              </w:rPr>
              <w:t>25,314.48</w:t>
            </w:r>
          </w:p>
        </w:tc>
      </w:tr>
    </w:tbl>
    <w:p w14:paraId="21C9597B" w14:textId="0C8E6630" w:rsidR="002B5315" w:rsidRPr="002B5315" w:rsidRDefault="002B5315" w:rsidP="00F75976">
      <w:pPr>
        <w:spacing w:line="360" w:lineRule="auto"/>
        <w:ind w:firstLineChars="200" w:firstLine="480"/>
        <w:rPr>
          <w:rFonts w:ascii="Times New Roman" w:hAnsi="Times New Roman" w:cs="Times New Roman" w:hint="eastAsia"/>
          <w:sz w:val="24"/>
          <w:szCs w:val="28"/>
        </w:rPr>
      </w:pPr>
      <w:r w:rsidRPr="00F6033B">
        <w:rPr>
          <w:rFonts w:asciiTheme="minorEastAsia" w:hAnsiTheme="minorEastAsia" w:hint="eastAsia"/>
          <w:bCs/>
          <w:kern w:val="0"/>
          <w:sz w:val="24"/>
          <w:szCs w:val="24"/>
        </w:rPr>
        <w:t>具体详见附件--资产评估结果汇总表（</w:t>
      </w:r>
      <w:r w:rsidRPr="00AC31E0">
        <w:rPr>
          <w:rFonts w:asciiTheme="minorEastAsia" w:hAnsiTheme="minorEastAsia" w:hint="eastAsia"/>
          <w:bCs/>
          <w:kern w:val="0"/>
          <w:sz w:val="24"/>
          <w:szCs w:val="24"/>
        </w:rPr>
        <w:t>桃花草莓园</w:t>
      </w:r>
      <w:r w:rsidRPr="00F6033B">
        <w:rPr>
          <w:rFonts w:asciiTheme="minorEastAsia" w:hAnsiTheme="minorEastAsia" w:hint="eastAsia"/>
          <w:bCs/>
          <w:kern w:val="0"/>
          <w:sz w:val="24"/>
          <w:szCs w:val="24"/>
        </w:rPr>
        <w:t>）。</w:t>
      </w:r>
    </w:p>
    <w:p w14:paraId="59787FFA" w14:textId="7ED2900E" w:rsidR="007B4604" w:rsidRDefault="007B4604" w:rsidP="00F75976">
      <w:pPr>
        <w:spacing w:line="360" w:lineRule="auto"/>
        <w:ind w:firstLineChars="200" w:firstLine="480"/>
        <w:rPr>
          <w:rFonts w:ascii="Times New Roman" w:hAnsi="Times New Roman" w:cs="Times New Roman"/>
          <w:sz w:val="24"/>
          <w:szCs w:val="28"/>
        </w:rPr>
      </w:pPr>
    </w:p>
    <w:p w14:paraId="6EED5B0D" w14:textId="22CAE634" w:rsidR="007B4604" w:rsidRDefault="007B4604" w:rsidP="00F75976">
      <w:pPr>
        <w:spacing w:line="360" w:lineRule="auto"/>
        <w:ind w:firstLineChars="200" w:firstLine="480"/>
        <w:rPr>
          <w:rFonts w:ascii="Times New Roman" w:hAnsi="Times New Roman" w:cs="Times New Roman"/>
          <w:sz w:val="24"/>
          <w:szCs w:val="28"/>
        </w:rPr>
      </w:pPr>
    </w:p>
    <w:p w14:paraId="5CEE22B2" w14:textId="49066FC3" w:rsidR="007B4604" w:rsidRDefault="007B4604" w:rsidP="00F75976">
      <w:pPr>
        <w:spacing w:line="360" w:lineRule="auto"/>
        <w:ind w:firstLineChars="200" w:firstLine="480"/>
        <w:rPr>
          <w:rFonts w:ascii="Times New Roman" w:hAnsi="Times New Roman" w:cs="Times New Roman"/>
          <w:sz w:val="24"/>
          <w:szCs w:val="28"/>
        </w:rPr>
      </w:pPr>
    </w:p>
    <w:p w14:paraId="16FA563F" w14:textId="1CCB7087" w:rsidR="00847386" w:rsidRDefault="00847386" w:rsidP="00F75976">
      <w:pPr>
        <w:spacing w:line="360" w:lineRule="auto"/>
        <w:ind w:firstLineChars="200" w:firstLine="480"/>
        <w:rPr>
          <w:rFonts w:ascii="Times New Roman" w:hAnsi="Times New Roman" w:cs="Times New Roman"/>
          <w:sz w:val="24"/>
          <w:szCs w:val="28"/>
        </w:rPr>
      </w:pPr>
    </w:p>
    <w:p w14:paraId="28FD05BE" w14:textId="0DD2085E" w:rsidR="00847386" w:rsidRPr="00847386" w:rsidRDefault="00847386" w:rsidP="00F75976">
      <w:pPr>
        <w:spacing w:line="360" w:lineRule="auto"/>
        <w:ind w:firstLineChars="200" w:firstLine="440"/>
        <w:rPr>
          <w:rFonts w:ascii="Times New Roman" w:hAnsi="Times New Roman" w:cs="Times New Roman"/>
          <w:sz w:val="22"/>
          <w:szCs w:val="24"/>
        </w:rPr>
      </w:pPr>
    </w:p>
    <w:p w14:paraId="4FC62CC1" w14:textId="7C1426E2" w:rsidR="00847386" w:rsidRPr="00847386" w:rsidRDefault="00847386" w:rsidP="00847386">
      <w:pPr>
        <w:autoSpaceDE w:val="0"/>
        <w:autoSpaceDN w:val="0"/>
        <w:adjustRightInd w:val="0"/>
        <w:snapToGrid w:val="0"/>
        <w:jc w:val="center"/>
        <w:textAlignment w:val="bottom"/>
        <w:rPr>
          <w:rFonts w:ascii="宋体" w:eastAsia="宋体" w:hAnsi="宋体"/>
          <w:bCs/>
          <w:spacing w:val="5"/>
          <w:sz w:val="24"/>
          <w:szCs w:val="24"/>
        </w:rPr>
      </w:pPr>
      <w:r w:rsidRPr="00847386">
        <w:rPr>
          <w:rFonts w:ascii="Times New Roman" w:hAnsi="Times New Roman" w:cs="Times New Roman" w:hint="eastAsia"/>
          <w:sz w:val="22"/>
          <w:szCs w:val="24"/>
        </w:rPr>
        <w:t xml:space="preserve"> </w:t>
      </w:r>
      <w:r w:rsidRPr="00847386">
        <w:rPr>
          <w:rFonts w:ascii="Times New Roman" w:hAnsi="Times New Roman" w:cs="Times New Roman"/>
          <w:sz w:val="22"/>
          <w:szCs w:val="24"/>
        </w:rPr>
        <w:t xml:space="preserve">  </w:t>
      </w:r>
      <w:r w:rsidRPr="00847386">
        <w:rPr>
          <w:rFonts w:ascii="宋体" w:eastAsia="宋体" w:hAnsi="宋体" w:cs="Times New Roman"/>
          <w:bCs/>
        </w:rPr>
        <w:t xml:space="preserve">                  </w:t>
      </w:r>
      <w:r>
        <w:rPr>
          <w:rFonts w:ascii="宋体" w:eastAsia="宋体" w:hAnsi="宋体" w:cs="Times New Roman"/>
          <w:bCs/>
        </w:rPr>
        <w:t xml:space="preserve">              </w:t>
      </w:r>
      <w:r w:rsidRPr="00847386">
        <w:rPr>
          <w:rFonts w:ascii="宋体" w:eastAsia="宋体" w:hAnsi="宋体" w:cs="Times New Roman"/>
          <w:bCs/>
        </w:rPr>
        <w:t xml:space="preserve">  </w:t>
      </w:r>
      <w:r w:rsidRPr="00847386">
        <w:rPr>
          <w:rFonts w:ascii="宋体" w:eastAsia="宋体" w:hAnsi="宋体" w:hint="eastAsia"/>
          <w:bCs/>
          <w:spacing w:val="5"/>
          <w:sz w:val="24"/>
          <w:szCs w:val="24"/>
        </w:rPr>
        <w:t>国专中衡（北京）资产评估有限责任公司</w:t>
      </w:r>
    </w:p>
    <w:p w14:paraId="1F5F20AD" w14:textId="1F755DD9" w:rsidR="00847386" w:rsidRPr="00847386" w:rsidRDefault="00847386" w:rsidP="00847386">
      <w:pPr>
        <w:autoSpaceDE w:val="0"/>
        <w:autoSpaceDN w:val="0"/>
        <w:adjustRightInd w:val="0"/>
        <w:snapToGrid w:val="0"/>
        <w:jc w:val="center"/>
        <w:textAlignment w:val="bottom"/>
        <w:rPr>
          <w:rFonts w:ascii="宋体" w:eastAsia="宋体" w:hAnsi="宋体"/>
          <w:bCs/>
          <w:spacing w:val="5"/>
          <w:sz w:val="24"/>
          <w:szCs w:val="24"/>
        </w:rPr>
      </w:pPr>
    </w:p>
    <w:p w14:paraId="749E0EDE" w14:textId="77777777" w:rsidR="00847386" w:rsidRPr="00847386" w:rsidRDefault="00847386" w:rsidP="00847386">
      <w:pPr>
        <w:autoSpaceDE w:val="0"/>
        <w:autoSpaceDN w:val="0"/>
        <w:adjustRightInd w:val="0"/>
        <w:snapToGrid w:val="0"/>
        <w:jc w:val="center"/>
        <w:textAlignment w:val="bottom"/>
        <w:rPr>
          <w:rFonts w:ascii="宋体" w:eastAsia="宋体" w:hAnsi="宋体"/>
          <w:bCs/>
          <w:spacing w:val="5"/>
          <w:sz w:val="24"/>
          <w:szCs w:val="24"/>
        </w:rPr>
      </w:pPr>
    </w:p>
    <w:p w14:paraId="00AFD776" w14:textId="4F59EC42" w:rsidR="00847386" w:rsidRPr="00847386" w:rsidRDefault="00847386" w:rsidP="00847386">
      <w:pPr>
        <w:autoSpaceDE w:val="0"/>
        <w:autoSpaceDN w:val="0"/>
        <w:adjustRightInd w:val="0"/>
        <w:snapToGrid w:val="0"/>
        <w:jc w:val="right"/>
        <w:textAlignment w:val="bottom"/>
        <w:rPr>
          <w:rFonts w:ascii="宋体" w:eastAsia="宋体" w:hAnsi="宋体"/>
          <w:bCs/>
          <w:spacing w:val="5"/>
          <w:sz w:val="24"/>
          <w:szCs w:val="24"/>
        </w:rPr>
      </w:pPr>
      <w:r w:rsidRPr="00847386">
        <w:rPr>
          <w:rFonts w:ascii="宋体" w:eastAsia="宋体" w:hAnsi="宋体" w:hint="eastAsia"/>
          <w:bCs/>
          <w:spacing w:val="5"/>
          <w:sz w:val="24"/>
          <w:szCs w:val="24"/>
        </w:rPr>
        <w:t>二零一九</w:t>
      </w:r>
      <w:r w:rsidRPr="00847386">
        <w:rPr>
          <w:rFonts w:ascii="宋体" w:eastAsia="宋体" w:hAnsi="宋体"/>
          <w:bCs/>
          <w:spacing w:val="5"/>
          <w:sz w:val="24"/>
          <w:szCs w:val="24"/>
        </w:rPr>
        <w:t>年</w:t>
      </w:r>
      <w:r>
        <w:rPr>
          <w:rFonts w:ascii="宋体" w:eastAsia="宋体" w:hAnsi="宋体" w:hint="eastAsia"/>
          <w:bCs/>
          <w:spacing w:val="5"/>
          <w:sz w:val="24"/>
          <w:szCs w:val="24"/>
        </w:rPr>
        <w:t>九</w:t>
      </w:r>
      <w:r w:rsidRPr="00847386">
        <w:rPr>
          <w:rFonts w:ascii="宋体" w:eastAsia="宋体" w:hAnsi="宋体"/>
          <w:bCs/>
          <w:spacing w:val="5"/>
          <w:sz w:val="24"/>
          <w:szCs w:val="24"/>
        </w:rPr>
        <w:t>月</w:t>
      </w:r>
      <w:r>
        <w:rPr>
          <w:rFonts w:ascii="宋体" w:eastAsia="宋体" w:hAnsi="宋体" w:hint="eastAsia"/>
          <w:bCs/>
          <w:spacing w:val="5"/>
          <w:sz w:val="24"/>
          <w:szCs w:val="24"/>
        </w:rPr>
        <w:t>三</w:t>
      </w:r>
      <w:r w:rsidRPr="00847386">
        <w:rPr>
          <w:rFonts w:ascii="宋体" w:eastAsia="宋体" w:hAnsi="宋体"/>
          <w:bCs/>
          <w:spacing w:val="5"/>
          <w:sz w:val="24"/>
          <w:szCs w:val="24"/>
        </w:rPr>
        <w:t>日</w:t>
      </w:r>
    </w:p>
    <w:p w14:paraId="4D97B66B" w14:textId="5BEDE996" w:rsidR="00847386" w:rsidRPr="00C6246C" w:rsidRDefault="00847386" w:rsidP="00F75976">
      <w:pPr>
        <w:spacing w:line="360" w:lineRule="auto"/>
        <w:ind w:firstLineChars="200" w:firstLine="480"/>
        <w:rPr>
          <w:rFonts w:ascii="Times New Roman" w:hAnsi="Times New Roman" w:cs="Times New Roman"/>
          <w:sz w:val="24"/>
          <w:szCs w:val="28"/>
        </w:rPr>
      </w:pPr>
    </w:p>
    <w:p w14:paraId="0159290C" w14:textId="478DB4F4" w:rsidR="00247BD3" w:rsidRPr="007B4604" w:rsidRDefault="00247BD3" w:rsidP="00F75976"/>
    <w:sectPr w:rsidR="00247BD3" w:rsidRPr="007B46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35E4" w14:textId="77777777" w:rsidR="00714D38" w:rsidRDefault="00714D38" w:rsidP="00F75976">
      <w:r>
        <w:separator/>
      </w:r>
    </w:p>
  </w:endnote>
  <w:endnote w:type="continuationSeparator" w:id="0">
    <w:p w14:paraId="140FEC7F" w14:textId="77777777" w:rsidR="00714D38" w:rsidRDefault="00714D38" w:rsidP="00F7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277D3" w14:textId="77777777" w:rsidR="00714D38" w:rsidRDefault="00714D38" w:rsidP="00F75976">
      <w:r>
        <w:separator/>
      </w:r>
    </w:p>
  </w:footnote>
  <w:footnote w:type="continuationSeparator" w:id="0">
    <w:p w14:paraId="50A0C7D7" w14:textId="77777777" w:rsidR="00714D38" w:rsidRDefault="00714D38" w:rsidP="00F75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D2CC0"/>
    <w:multiLevelType w:val="hybridMultilevel"/>
    <w:tmpl w:val="080AD7CE"/>
    <w:lvl w:ilvl="0" w:tplc="11261E5C">
      <w:start w:val="1"/>
      <w:numFmt w:val="chineseCountingThousand"/>
      <w:suff w:val="nothing"/>
      <w:lvlText w:val="%1、"/>
      <w:lvlJc w:val="left"/>
      <w:pPr>
        <w:ind w:left="1440" w:hanging="1440"/>
      </w:pPr>
      <w:rPr>
        <w:rFonts w:hint="eastAsia"/>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70D85"/>
    <w:rsid w:val="000835C7"/>
    <w:rsid w:val="001B676D"/>
    <w:rsid w:val="001F1921"/>
    <w:rsid w:val="00247BD3"/>
    <w:rsid w:val="00265FE5"/>
    <w:rsid w:val="002B5315"/>
    <w:rsid w:val="00314B85"/>
    <w:rsid w:val="00472BED"/>
    <w:rsid w:val="00714D38"/>
    <w:rsid w:val="007B4604"/>
    <w:rsid w:val="00847386"/>
    <w:rsid w:val="00870D85"/>
    <w:rsid w:val="0092019E"/>
    <w:rsid w:val="00C46104"/>
    <w:rsid w:val="00C6246C"/>
    <w:rsid w:val="00D20ADA"/>
    <w:rsid w:val="00D369C8"/>
    <w:rsid w:val="00E915CF"/>
    <w:rsid w:val="00F53E0E"/>
    <w:rsid w:val="00F7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FDCE2"/>
  <w15:chartTrackingRefBased/>
  <w15:docId w15:val="{2544F613-C416-4F93-BD68-76A7F6CD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9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5976"/>
    <w:rPr>
      <w:sz w:val="18"/>
      <w:szCs w:val="18"/>
    </w:rPr>
  </w:style>
  <w:style w:type="paragraph" w:styleId="a5">
    <w:name w:val="footer"/>
    <w:basedOn w:val="a"/>
    <w:link w:val="a6"/>
    <w:uiPriority w:val="99"/>
    <w:unhideWhenUsed/>
    <w:rsid w:val="00F75976"/>
    <w:pPr>
      <w:tabs>
        <w:tab w:val="center" w:pos="4153"/>
        <w:tab w:val="right" w:pos="8306"/>
      </w:tabs>
      <w:snapToGrid w:val="0"/>
      <w:jc w:val="left"/>
    </w:pPr>
    <w:rPr>
      <w:sz w:val="18"/>
      <w:szCs w:val="18"/>
    </w:rPr>
  </w:style>
  <w:style w:type="character" w:customStyle="1" w:styleId="a6">
    <w:name w:val="页脚 字符"/>
    <w:basedOn w:val="a0"/>
    <w:link w:val="a5"/>
    <w:uiPriority w:val="99"/>
    <w:rsid w:val="00F75976"/>
    <w:rPr>
      <w:sz w:val="18"/>
      <w:szCs w:val="18"/>
    </w:rPr>
  </w:style>
  <w:style w:type="paragraph" w:styleId="a7">
    <w:name w:val="List Paragraph"/>
    <w:basedOn w:val="a"/>
    <w:uiPriority w:val="34"/>
    <w:qFormat/>
    <w:rsid w:val="00C6246C"/>
    <w:pPr>
      <w:ind w:firstLineChars="200" w:firstLine="420"/>
    </w:pPr>
  </w:style>
  <w:style w:type="paragraph" w:styleId="3">
    <w:name w:val="Body Text Indent 3"/>
    <w:basedOn w:val="a"/>
    <w:link w:val="30"/>
    <w:rsid w:val="007B4604"/>
    <w:pPr>
      <w:autoSpaceDE w:val="0"/>
      <w:autoSpaceDN w:val="0"/>
      <w:adjustRightInd w:val="0"/>
      <w:spacing w:line="360" w:lineRule="auto"/>
      <w:ind w:firstLine="540"/>
      <w:jc w:val="left"/>
      <w:textAlignment w:val="bottom"/>
    </w:pPr>
    <w:rPr>
      <w:rFonts w:ascii="楷体_GB2312" w:eastAsia="楷体_GB2312" w:hAnsi="Times New Roman" w:cs="Times New Roman"/>
      <w:kern w:val="0"/>
      <w:sz w:val="28"/>
      <w:szCs w:val="20"/>
    </w:rPr>
  </w:style>
  <w:style w:type="character" w:customStyle="1" w:styleId="30">
    <w:name w:val="正文文本缩进 3 字符"/>
    <w:basedOn w:val="a0"/>
    <w:link w:val="3"/>
    <w:rsid w:val="007B4604"/>
    <w:rPr>
      <w:rFonts w:ascii="楷体_GB2312" w:eastAsia="楷体_GB2312" w:hAnsi="Times New Roman" w:cs="Times New Roman"/>
      <w:kern w:val="0"/>
      <w:sz w:val="28"/>
      <w:szCs w:val="20"/>
    </w:rPr>
  </w:style>
  <w:style w:type="paragraph" w:styleId="a8">
    <w:name w:val="Body Text"/>
    <w:basedOn w:val="a"/>
    <w:link w:val="a9"/>
    <w:rsid w:val="002B5315"/>
    <w:pPr>
      <w:spacing w:after="120" w:line="360" w:lineRule="auto"/>
    </w:pPr>
    <w:rPr>
      <w:rFonts w:ascii="Times New Roman" w:eastAsia="宋体" w:hAnsi="Times New Roman" w:cs="Times New Roman"/>
      <w:szCs w:val="20"/>
    </w:rPr>
  </w:style>
  <w:style w:type="character" w:customStyle="1" w:styleId="a9">
    <w:name w:val="正文文本 字符"/>
    <w:basedOn w:val="a0"/>
    <w:link w:val="a8"/>
    <w:rsid w:val="002B5315"/>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7</cp:revision>
  <cp:lastPrinted>2019-09-04T04:02:00Z</cp:lastPrinted>
  <dcterms:created xsi:type="dcterms:W3CDTF">2019-09-03T05:27:00Z</dcterms:created>
  <dcterms:modified xsi:type="dcterms:W3CDTF">2019-09-04T04:08:00Z</dcterms:modified>
</cp:coreProperties>
</file>