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jc w:val="center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北京大兴魏善庄项目简报</w:t>
      </w:r>
    </w:p>
    <w:p>
      <w:pPr>
        <w:ind w:firstLine="480" w:firstLineChars="200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一、 项目概况</w:t>
      </w:r>
      <w:bookmarkStart w:id="0" w:name="_Hlk18941517"/>
    </w:p>
    <w:p>
      <w:pPr>
        <w:spacing w:line="480" w:lineRule="exact"/>
        <w:ind w:left="20" w:firstLine="480" w:firstLineChars="200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（一）项</w:t>
      </w:r>
      <w:bookmarkStart w:id="1" w:name="_Hlk18941531"/>
      <w:r>
        <w:rPr>
          <w:rFonts w:hint="eastAsia" w:ascii="微软雅黑" w:hAnsi="微软雅黑" w:eastAsia="微软雅黑" w:cs="宋体"/>
          <w:kern w:val="0"/>
          <w:sz w:val="24"/>
          <w:szCs w:val="24"/>
        </w:rPr>
        <w:t>目指标</w:t>
      </w:r>
      <w:bookmarkStart w:id="3" w:name="_GoBack"/>
      <w:bookmarkEnd w:id="3"/>
    </w:p>
    <w:p>
      <w:pPr>
        <w:spacing w:line="480" w:lineRule="exact"/>
        <w:ind w:left="20" w:firstLine="480" w:firstLineChars="200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魏善庄项目两宗地块，0</w:t>
      </w:r>
      <w:r>
        <w:rPr>
          <w:rFonts w:ascii="微软雅黑" w:hAnsi="微软雅黑" w:eastAsia="微软雅黑" w:cs="宋体"/>
          <w:kern w:val="0"/>
          <w:sz w:val="24"/>
          <w:szCs w:val="24"/>
        </w:rPr>
        <w:t>9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号地块占地约4.</w:t>
      </w:r>
      <w:r>
        <w:rPr>
          <w:rFonts w:ascii="微软雅黑" w:hAnsi="微软雅黑" w:eastAsia="微软雅黑" w:cs="宋体"/>
          <w:kern w:val="0"/>
          <w:sz w:val="24"/>
          <w:szCs w:val="24"/>
        </w:rPr>
        <w:t>85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万㎡，容积率</w:t>
      </w:r>
      <w:r>
        <w:rPr>
          <w:rFonts w:ascii="微软雅黑" w:hAnsi="微软雅黑" w:eastAsia="微软雅黑" w:cs="宋体"/>
          <w:kern w:val="0"/>
          <w:sz w:val="24"/>
          <w:szCs w:val="24"/>
        </w:rPr>
        <w:t>2.2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，计容建面</w:t>
      </w:r>
      <w:r>
        <w:rPr>
          <w:rFonts w:ascii="微软雅黑" w:hAnsi="微软雅黑" w:eastAsia="微软雅黑" w:cs="宋体"/>
          <w:kern w:val="0"/>
          <w:sz w:val="24"/>
          <w:szCs w:val="24"/>
        </w:rPr>
        <w:t>10.6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万㎡，用地性质为集体经营性建设用地（绿隔产业用地），使用年限为</w:t>
      </w:r>
      <w:r>
        <w:rPr>
          <w:rFonts w:ascii="微软雅黑" w:hAnsi="微软雅黑" w:eastAsia="微软雅黑" w:cs="宋体"/>
          <w:kern w:val="0"/>
          <w:sz w:val="24"/>
          <w:szCs w:val="24"/>
        </w:rPr>
        <w:t xml:space="preserve">50 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年，其中总计容的2</w:t>
      </w:r>
      <w:r>
        <w:rPr>
          <w:rFonts w:ascii="微软雅黑" w:hAnsi="微软雅黑" w:eastAsia="微软雅黑" w:cs="宋体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%为文化产业经营用地共</w:t>
      </w:r>
      <w:r>
        <w:rPr>
          <w:rFonts w:ascii="微软雅黑" w:hAnsi="微软雅黑" w:eastAsia="微软雅黑" w:cs="宋体"/>
          <w:kern w:val="0"/>
          <w:sz w:val="24"/>
          <w:szCs w:val="24"/>
        </w:rPr>
        <w:t>2.1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万㎡，剩余</w:t>
      </w:r>
      <w:r>
        <w:rPr>
          <w:rFonts w:ascii="微软雅黑" w:hAnsi="微软雅黑" w:eastAsia="微软雅黑" w:cs="宋体"/>
          <w:kern w:val="0"/>
          <w:sz w:val="24"/>
          <w:szCs w:val="24"/>
        </w:rPr>
        <w:t>80%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共</w:t>
      </w:r>
      <w:r>
        <w:rPr>
          <w:rFonts w:ascii="微软雅黑" w:hAnsi="微软雅黑" w:eastAsia="微软雅黑" w:cs="宋体"/>
          <w:kern w:val="0"/>
          <w:sz w:val="24"/>
          <w:szCs w:val="24"/>
        </w:rPr>
        <w:t>85360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㎡为商业、酒店及酒店式公寓和写字楼。</w:t>
      </w:r>
    </w:p>
    <w:p>
      <w:pPr>
        <w:spacing w:line="480" w:lineRule="exact"/>
        <w:ind w:left="20" w:firstLine="420" w:firstLineChars="200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1010285</wp:posOffset>
            </wp:positionV>
            <wp:extent cx="5274310" cy="4013835"/>
            <wp:effectExtent l="0" t="0" r="2540" b="571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1</w:t>
      </w:r>
      <w:r>
        <w:rPr>
          <w:rFonts w:ascii="微软雅黑" w:hAnsi="微软雅黑" w:eastAsia="微软雅黑" w:cs="宋体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号地块占地约5</w:t>
      </w:r>
      <w:r>
        <w:rPr>
          <w:rFonts w:ascii="微软雅黑" w:hAnsi="微软雅黑" w:eastAsia="微软雅黑" w:cs="宋体"/>
          <w:kern w:val="0"/>
          <w:sz w:val="24"/>
          <w:szCs w:val="24"/>
        </w:rPr>
        <w:t>.23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万㎡，容积率</w:t>
      </w:r>
      <w:r>
        <w:rPr>
          <w:rFonts w:ascii="微软雅黑" w:hAnsi="微软雅黑" w:eastAsia="微软雅黑" w:cs="宋体"/>
          <w:kern w:val="0"/>
          <w:sz w:val="24"/>
          <w:szCs w:val="24"/>
        </w:rPr>
        <w:t>2.2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，计容建面</w:t>
      </w:r>
      <w:r>
        <w:rPr>
          <w:rFonts w:ascii="微软雅黑" w:hAnsi="微软雅黑" w:eastAsia="微软雅黑" w:cs="宋体"/>
          <w:kern w:val="0"/>
          <w:sz w:val="24"/>
          <w:szCs w:val="24"/>
        </w:rPr>
        <w:t>11.5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万㎡，用地性质</w:t>
      </w:r>
      <w:bookmarkEnd w:id="1"/>
      <w:r>
        <w:rPr>
          <w:rFonts w:hint="eastAsia" w:ascii="微软雅黑" w:hAnsi="微软雅黑" w:eastAsia="微软雅黑" w:cs="宋体"/>
          <w:kern w:val="0"/>
          <w:sz w:val="24"/>
          <w:szCs w:val="24"/>
        </w:rPr>
        <w:t>为集体经营性建设用地（绿隔产业用地）</w:t>
      </w:r>
      <w:bookmarkEnd w:id="0"/>
      <w:bookmarkStart w:id="2" w:name="_Hlk18941557"/>
      <w:r>
        <w:rPr>
          <w:rFonts w:hint="eastAsia" w:ascii="微软雅黑" w:hAnsi="微软雅黑" w:eastAsia="微软雅黑" w:cs="宋体"/>
          <w:kern w:val="0"/>
          <w:sz w:val="24"/>
          <w:szCs w:val="24"/>
        </w:rPr>
        <w:t>，可建设使用年限为</w:t>
      </w:r>
      <w:r>
        <w:rPr>
          <w:rFonts w:ascii="微软雅黑" w:hAnsi="微软雅黑" w:eastAsia="微软雅黑" w:cs="宋体"/>
          <w:kern w:val="0"/>
          <w:sz w:val="24"/>
          <w:szCs w:val="24"/>
        </w:rPr>
        <w:t xml:space="preserve">70 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年的地块产业配套共有产权房。</w:t>
      </w:r>
    </w:p>
    <w:p>
      <w:pPr>
        <w:spacing w:line="480" w:lineRule="exact"/>
        <w:ind w:left="20" w:firstLine="480" w:firstLineChars="200"/>
        <w:rPr>
          <w:rFonts w:hint="eastAsia" w:ascii="微软雅黑" w:hAnsi="微软雅黑" w:eastAsia="微软雅黑" w:cs="宋体"/>
          <w:kern w:val="0"/>
          <w:sz w:val="24"/>
          <w:szCs w:val="24"/>
        </w:rPr>
      </w:pPr>
    </w:p>
    <w:p>
      <w:pPr>
        <w:spacing w:line="480" w:lineRule="exact"/>
        <w:ind w:left="20" w:firstLine="480" w:firstLineChars="200"/>
        <w:rPr>
          <w:rFonts w:hint="eastAsia" w:ascii="微软雅黑" w:hAnsi="微软雅黑" w:eastAsia="微软雅黑" w:cs="宋体"/>
          <w:kern w:val="0"/>
          <w:sz w:val="24"/>
          <w:szCs w:val="24"/>
        </w:rPr>
      </w:pPr>
    </w:p>
    <w:p>
      <w:pPr>
        <w:spacing w:line="480" w:lineRule="exact"/>
        <w:ind w:left="20" w:firstLine="480" w:firstLineChars="200"/>
        <w:rPr>
          <w:rFonts w:ascii="微软雅黑" w:hAnsi="微软雅黑" w:eastAsia="微软雅黑" w:cs="宋体"/>
          <w:kern w:val="0"/>
          <w:sz w:val="24"/>
          <w:szCs w:val="24"/>
        </w:rPr>
      </w:pPr>
    </w:p>
    <w:p>
      <w:pPr>
        <w:spacing w:line="480" w:lineRule="exact"/>
        <w:ind w:left="20" w:firstLine="480" w:firstLineChars="200"/>
        <w:rPr>
          <w:rFonts w:ascii="微软雅黑" w:hAnsi="微软雅黑" w:eastAsia="微软雅黑" w:cs="宋体"/>
          <w:kern w:val="0"/>
          <w:sz w:val="24"/>
          <w:szCs w:val="24"/>
        </w:rPr>
      </w:pPr>
    </w:p>
    <w:p>
      <w:pPr>
        <w:spacing w:line="480" w:lineRule="exac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ascii="微软雅黑" w:hAnsi="微软雅黑" w:eastAsia="微软雅黑" w:cs="宋体"/>
          <w:kern w:val="0"/>
          <w:sz w:val="24"/>
          <w:szCs w:val="24"/>
        </w:rPr>
        <w:t>(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二)区位</w:t>
      </w:r>
    </w:p>
    <w:p>
      <w:pPr>
        <w:spacing w:line="480" w:lineRule="exact"/>
        <w:ind w:left="20" w:firstLine="480" w:firstLineChars="200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该项目地块位于</w:t>
      </w:r>
      <w:bookmarkEnd w:id="2"/>
      <w:r>
        <w:rPr>
          <w:rFonts w:hint="eastAsia" w:ascii="微软雅黑" w:hAnsi="微软雅黑" w:eastAsia="微软雅黑" w:cs="宋体"/>
          <w:kern w:val="0"/>
          <w:sz w:val="24"/>
          <w:szCs w:val="24"/>
        </w:rPr>
        <w:t>大兴区魏善庄镇东至龙威大街，北至龙江东路，西至龙飞大街，南至龙瀚路。距离北京南高铁站约3</w:t>
      </w:r>
      <w:r>
        <w:rPr>
          <w:rFonts w:ascii="微软雅黑" w:hAnsi="微软雅黑" w:eastAsia="微软雅黑" w:cs="宋体"/>
          <w:kern w:val="0"/>
          <w:sz w:val="24"/>
          <w:szCs w:val="24"/>
        </w:rPr>
        <w:t>5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公里车程4</w:t>
      </w:r>
      <w:r>
        <w:rPr>
          <w:rFonts w:ascii="微软雅黑" w:hAnsi="微软雅黑" w:eastAsia="微软雅黑" w:cs="宋体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分钟，距离北京大兴机场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约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1</w:t>
      </w:r>
      <w:r>
        <w:rPr>
          <w:rFonts w:ascii="微软雅黑" w:hAnsi="微软雅黑" w:eastAsia="微软雅黑" w:cs="宋体"/>
          <w:kern w:val="0"/>
          <w:sz w:val="24"/>
          <w:szCs w:val="24"/>
        </w:rPr>
        <w:t>5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公里车程2</w:t>
      </w:r>
      <w:r>
        <w:rPr>
          <w:rFonts w:ascii="微软雅黑" w:hAnsi="微软雅黑" w:eastAsia="微软雅黑" w:cs="宋体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分钟。</w:t>
      </w:r>
    </w:p>
    <w:p>
      <w:pPr>
        <w:spacing w:line="480" w:lineRule="exact"/>
        <w:ind w:left="20" w:firstLine="420" w:firstLineChars="200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0</wp:posOffset>
            </wp:positionV>
            <wp:extent cx="4218305" cy="3715385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305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二、项目背景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魏善庄政府平台公司（北京兴瑞临福置业有限公司以土地作价入股）、涌现文化集团有限公司及第三方公司采取联营合作模式，成立项目公司对</w:t>
      </w:r>
      <w:r>
        <w:rPr>
          <w:rFonts w:ascii="微软雅黑" w:hAnsi="微软雅黑" w:eastAsia="微软雅黑" w:cs="宋体"/>
          <w:kern w:val="0"/>
          <w:sz w:val="24"/>
          <w:szCs w:val="24"/>
        </w:rPr>
        <w:t>09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号地块用于产业与商业开发建设，对</w:t>
      </w:r>
      <w:r>
        <w:rPr>
          <w:rFonts w:ascii="微软雅黑" w:hAnsi="微软雅黑" w:eastAsia="微软雅黑" w:cs="宋体"/>
          <w:kern w:val="0"/>
          <w:sz w:val="24"/>
          <w:szCs w:val="24"/>
        </w:rPr>
        <w:t>12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号地块用于平衡产业配套的共有产权房开发建设，使用权证均归属魏善庄政府的平台公司北京兴瑞临福置业有限公司。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1</w:t>
      </w:r>
      <w:r>
        <w:rPr>
          <w:rFonts w:ascii="微软雅黑" w:hAnsi="微软雅黑" w:eastAsia="微软雅黑" w:cs="宋体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号地块为招拍挂形式出让，0</w:t>
      </w:r>
      <w:r>
        <w:rPr>
          <w:rFonts w:ascii="微软雅黑" w:hAnsi="微软雅黑" w:eastAsia="微软雅黑" w:cs="宋体"/>
          <w:kern w:val="0"/>
          <w:sz w:val="24"/>
          <w:szCs w:val="24"/>
        </w:rPr>
        <w:t>9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号地块为与政府协议出让（两宗地块平均楼面价不低于</w:t>
      </w:r>
      <w:r>
        <w:rPr>
          <w:rFonts w:ascii="微软雅黑" w:hAnsi="微软雅黑" w:eastAsia="微软雅黑" w:cs="宋体"/>
          <w:kern w:val="0"/>
          <w:sz w:val="24"/>
          <w:szCs w:val="24"/>
        </w:rPr>
        <w:t xml:space="preserve">10450 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元</w:t>
      </w:r>
      <w:r>
        <w:rPr>
          <w:rFonts w:ascii="微软雅黑" w:hAnsi="微软雅黑" w:eastAsia="微软雅黑" w:cs="宋体"/>
          <w:kern w:val="0"/>
          <w:sz w:val="24"/>
          <w:szCs w:val="24"/>
        </w:rPr>
        <w:t>/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㎡），土地出让金及后期开发建设费用由第三方公司承担。并且第三方公司在两宗地块确权后收购涌现文化集团有限公司股权，实现其退出，政府平台公司三年内以所持股权的3</w:t>
      </w:r>
      <w:r>
        <w:rPr>
          <w:rFonts w:ascii="微软雅黑" w:hAnsi="微软雅黑" w:eastAsia="微软雅黑" w:cs="宋体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%，3</w:t>
      </w:r>
      <w:r>
        <w:rPr>
          <w:rFonts w:ascii="微软雅黑" w:hAnsi="微软雅黑" w:eastAsia="微软雅黑" w:cs="宋体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%，4</w:t>
      </w:r>
      <w:r>
        <w:rPr>
          <w:rFonts w:ascii="微软雅黑" w:hAnsi="微软雅黑" w:eastAsia="微软雅黑" w:cs="宋体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%逐年收取股权对价款退出。</w:t>
      </w:r>
    </w:p>
    <w:p>
      <w:pPr>
        <w:spacing w:line="480" w:lineRule="exac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三、关于项目研判建议：</w:t>
      </w:r>
    </w:p>
    <w:p>
      <w:pPr>
        <w:spacing w:line="480" w:lineRule="exact"/>
        <w:ind w:firstLine="481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1、2014年国务院办公厅印发《关于农村土地征收、集体经营性建设 用地入市、宅基地制度改革试点工作的意见》，北京市大兴区是全国33个试点县市区之一。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  2、明确允许存量农村集体经营性建设用地使用权出让、租赁、入股，实行与国有建设用地使用权同等入市、同权同价。建立“同地同权、流转顺畅、收益共享” 的农村集体经营性建设用地入市制度。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3、12#地块将通过招拍挂方式挂牌上市交易，并以与合作方共同设立的项目公司名义进行摘牌，地块权属归属于项目公司，而不是政府平台公司。9#地块也将采用招标方式进行公开供地，权属亦属于项目公司。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4、12#地块用于建设共有产权住宅项目，面向符合购买资格的购房者进行销售，与大兴区内的其他共有产权项目销售政策相同。（区内现有共有产权房项目见附件）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5、9#地块中除20%部分作为产业用房需要自持外（可由涌现文化集团自持），其余80%的部分土地性质为商业，地上建筑物均可对外销售。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  6、北京兴瑞临福置业有限公司作为魏善庄政府的平台公司，以股东身份参与9#地块的项目公司，作为股东将为涌现文化集团及其合作方提供9#地块的公开摘牌资金，并按照3:3:4的进度在两年内退出持有的项目公司股权，按照提供摘地资金量及不低于年化7%资金占用费（未收回的部分收取）的条件退出股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E5"/>
    <w:rsid w:val="000744F5"/>
    <w:rsid w:val="000B3EF5"/>
    <w:rsid w:val="00245BB6"/>
    <w:rsid w:val="002566FB"/>
    <w:rsid w:val="002761C1"/>
    <w:rsid w:val="0039584E"/>
    <w:rsid w:val="003A0042"/>
    <w:rsid w:val="003D5816"/>
    <w:rsid w:val="005E7AFA"/>
    <w:rsid w:val="00716DF5"/>
    <w:rsid w:val="00931CE5"/>
    <w:rsid w:val="009C4E36"/>
    <w:rsid w:val="00AC5A9A"/>
    <w:rsid w:val="00B13FFC"/>
    <w:rsid w:val="00B16F21"/>
    <w:rsid w:val="00B5287A"/>
    <w:rsid w:val="00CB4005"/>
    <w:rsid w:val="00D81B1C"/>
    <w:rsid w:val="00DF60A4"/>
    <w:rsid w:val="2E931C1F"/>
    <w:rsid w:val="59F03D10"/>
    <w:rsid w:val="70E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</Words>
  <Characters>650</Characters>
  <Lines>5</Lines>
  <Paragraphs>1</Paragraphs>
  <TotalTime>59</TotalTime>
  <ScaleCrop>false</ScaleCrop>
  <LinksUpToDate>false</LinksUpToDate>
  <CharactersWithSpaces>762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2020-03-13T07:29:00Z</dcterms:created>
  <dc:creator>沈阳</dc:creator>
  <cp:lastModifiedBy>南及</cp:lastModifiedBy>
  <dcterms:modified xsi:type="dcterms:W3CDTF">2020-04-09T01:35:04Z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