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87" w:rsidRPr="00BE5187" w:rsidRDefault="00BE5187" w:rsidP="00BE5187">
      <w:pPr>
        <w:widowControl/>
        <w:shd w:val="clear" w:color="auto" w:fill="F9F9F9"/>
        <w:spacing w:line="450" w:lineRule="atLeast"/>
        <w:jc w:val="left"/>
        <w:outlineLvl w:val="0"/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</w:pP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天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房夺双料地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王！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102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亿砸下和平大沽北路，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3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万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6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楼面价史上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最高，溢价率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127</w:t>
      </w:r>
      <w:r w:rsidRPr="00BE5187">
        <w:rPr>
          <w:rFonts w:ascii="Helvetica" w:eastAsia="宋体" w:hAnsi="Helvetica" w:cs="Helvetica"/>
          <w:b/>
          <w:bCs/>
          <w:color w:val="2B2B2B"/>
          <w:kern w:val="36"/>
          <w:sz w:val="39"/>
          <w:szCs w:val="39"/>
        </w:rPr>
        <w:t>％</w:t>
      </w:r>
    </w:p>
    <w:p w:rsidR="00BE5187" w:rsidRPr="00BE5187" w:rsidRDefault="00BE5187" w:rsidP="00BE5187">
      <w:pPr>
        <w:widowControl/>
        <w:shd w:val="clear" w:color="auto" w:fill="F9F9F9"/>
        <w:spacing w:line="300" w:lineRule="atLeast"/>
        <w:jc w:val="left"/>
        <w:rPr>
          <w:rFonts w:ascii="Helvetica" w:eastAsia="宋体" w:hAnsi="Helvetica" w:cs="Helvetica"/>
          <w:color w:val="A4A4A4"/>
          <w:kern w:val="0"/>
          <w:szCs w:val="21"/>
        </w:rPr>
      </w:pPr>
      <w:r w:rsidRPr="00BE5187">
        <w:rPr>
          <w:rFonts w:ascii="Helvetica" w:eastAsia="宋体" w:hAnsi="Helvetica" w:cs="Helvetica"/>
          <w:color w:val="A4A4A4"/>
          <w:kern w:val="0"/>
          <w:szCs w:val="21"/>
        </w:rPr>
        <w:t>克而瑞房价信</w:t>
      </w:r>
      <w:r w:rsidRPr="00BE5187">
        <w:rPr>
          <w:rFonts w:ascii="Helvetica" w:eastAsia="宋体" w:hAnsi="Helvetica" w:cs="Helvetica"/>
          <w:color w:val="A4A4A4"/>
          <w:kern w:val="0"/>
          <w:szCs w:val="21"/>
        </w:rPr>
        <w:t>... 06-29 13:39</w:t>
      </w:r>
      <w:hyperlink r:id="rId4" w:history="1">
        <w:r w:rsidRPr="00BE5187">
          <w:rPr>
            <w:rFonts w:ascii="Helvetica" w:eastAsia="宋体" w:hAnsi="Helvetica" w:cs="Helvetica"/>
            <w:color w:val="6098D4"/>
            <w:kern w:val="0"/>
            <w:szCs w:val="21"/>
          </w:rPr>
          <w:t> </w:t>
        </w:r>
        <w:r w:rsidRPr="00BE5187">
          <w:rPr>
            <w:rFonts w:ascii="Helvetica" w:eastAsia="宋体" w:hAnsi="Helvetica" w:cs="Helvetica"/>
            <w:color w:val="A4A4A4"/>
            <w:kern w:val="0"/>
            <w:szCs w:val="21"/>
          </w:rPr>
          <w:t>大</w:t>
        </w:r>
      </w:hyperlink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drawing>
          <wp:inline distT="0" distB="0" distL="0" distR="0">
            <wp:extent cx="4826000" cy="666750"/>
            <wp:effectExtent l="0" t="0" r="0" b="0"/>
            <wp:docPr id="10" name="图片 10" descr="https://s9.rr.itc.cn/r/wapChange/20166_29_15/a7bxfw187608852815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9.rr.itc.cn/r/wapChange/20166_29_15/a7bxfw1876088528159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月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28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日上午十点，备受瞩目的津和大（拍）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2016-084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号地在天津土地交易市场拍卖！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该地块由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块用地组成，总出让土地面积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52243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平，总建筑面积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277600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平，起叫价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45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亿，起始单价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16210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元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/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平米，吸引了中冶、龙湖、中建、金茂、金融街、天成、信达、招商、保利、正荣、中粮、天房等多家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房企参与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竞拍！过程之激烈不容赘言，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最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后天房、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中冶两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大房企焦灼加价，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 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经过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97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轮竞拍天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房最终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102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亿胜出，楼面价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36744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元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/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平米，溢价率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127%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！！！！！</w:t>
      </w:r>
    </w:p>
    <w:p w:rsidR="00BE5187" w:rsidRPr="00BE5187" w:rsidRDefault="00BE5187" w:rsidP="00BE5187">
      <w:pPr>
        <w:widowControl/>
        <w:shd w:val="clear" w:color="auto" w:fill="EFEFEF"/>
        <w:spacing w:line="600" w:lineRule="atLeast"/>
        <w:jc w:val="left"/>
        <w:rPr>
          <w:rFonts w:ascii="Helvetica" w:eastAsia="宋体" w:hAnsi="Helvetica" w:cs="Helvetica"/>
          <w:color w:val="454545"/>
          <w:kern w:val="0"/>
          <w:sz w:val="23"/>
          <w:szCs w:val="23"/>
        </w:rPr>
      </w:pPr>
      <w:r w:rsidRPr="00BE5187">
        <w:rPr>
          <w:rFonts w:ascii="Helvetica" w:eastAsia="宋体" w:hAnsi="Helvetica" w:cs="Helvetica"/>
          <w:color w:val="454545"/>
          <w:kern w:val="0"/>
          <w:sz w:val="23"/>
          <w:szCs w:val="23"/>
        </w:rPr>
        <w:t>洗衣</w:t>
      </w:r>
      <w:proofErr w:type="gramStart"/>
      <w:r w:rsidRPr="00BE5187">
        <w:rPr>
          <w:rFonts w:ascii="Helvetica" w:eastAsia="宋体" w:hAnsi="Helvetica" w:cs="Helvetica"/>
          <w:color w:val="454545"/>
          <w:kern w:val="0"/>
          <w:sz w:val="23"/>
          <w:szCs w:val="23"/>
        </w:rPr>
        <w:t>液生产</w:t>
      </w:r>
      <w:proofErr w:type="gramEnd"/>
      <w:r w:rsidRPr="00BE5187">
        <w:rPr>
          <w:rFonts w:ascii="Helvetica" w:eastAsia="宋体" w:hAnsi="Helvetica" w:cs="Helvetica"/>
          <w:color w:val="454545"/>
          <w:kern w:val="0"/>
          <w:sz w:val="23"/>
          <w:szCs w:val="23"/>
        </w:rPr>
        <w:t>设备？小本创业！</w:t>
      </w:r>
    </w:p>
    <w:p w:rsidR="00BE5187" w:rsidRPr="00BE5187" w:rsidRDefault="00BE5187" w:rsidP="00BE5187">
      <w:pPr>
        <w:widowControl/>
        <w:shd w:val="clear" w:color="auto" w:fill="EFEFEF"/>
        <w:spacing w:line="270" w:lineRule="atLeast"/>
        <w:jc w:val="left"/>
        <w:rPr>
          <w:rFonts w:ascii="Helvetica" w:eastAsia="宋体" w:hAnsi="Helvetica" w:cs="Helvetica"/>
          <w:color w:val="A4A4A4"/>
          <w:kern w:val="0"/>
          <w:sz w:val="18"/>
          <w:szCs w:val="18"/>
        </w:rPr>
      </w:pPr>
      <w:r w:rsidRPr="00BE5187">
        <w:rPr>
          <w:rFonts w:ascii="Helvetica" w:eastAsia="宋体" w:hAnsi="Helvetica" w:cs="Helvetica"/>
          <w:color w:val="A4A4A4"/>
          <w:kern w:val="0"/>
          <w:sz w:val="18"/>
          <w:szCs w:val="18"/>
        </w:rPr>
        <w:t>广告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6400800" cy="3600450"/>
            <wp:effectExtent l="0" t="0" r="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这是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年以来和平出让的第二宗宅地，上一次出让是沧州天成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9.9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亿拿下的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和田道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地块（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←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戳蓝字复习）也就是拍出了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楼面价的那个单价地王，而今日成交的大沽北路地块，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的起始楼面价，已超过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和田道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地块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的挂牌单价，放在天津全市也是史上第五，仅次于南开的手表厂、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育梁道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、水上西路地块及和平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成都道小地块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的挂牌单价。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 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最终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102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亿成交，总价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仅次于天拖地块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的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103.2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亿，成为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天津土拍历史上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总价第二高地王！单价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，超过</w:t>
      </w:r>
      <w:proofErr w:type="gramStart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和田道</w:t>
      </w:r>
      <w:proofErr w:type="gramEnd"/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问鼎史上单价地王！！！！！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天津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历来高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单价地块统计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6096000" cy="2495550"/>
            <wp:effectExtent l="0" t="0" r="0" b="0"/>
            <wp:docPr id="8" name="图片 8" descr="https://s9.rr.itc.cn/r/wapChange/20166_29_15/a4acue18760899328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9.rr.itc.cn/r/wapChange/20166_29_15/a4acue1876089932859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据中原地产研究部统计，截至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月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日，全国土地市场单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宗成交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金额过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亿的地块已达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宗，前五名分别是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140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亿（深圳）、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123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亿（杭州）、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88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亿（南京）、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82.9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亿（深圳）、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77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亿（合肥）。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 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天津和平区大沽北路地块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102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亿的成交总价，在全国地王中位居第三！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商住比约</w:t>
      </w:r>
      <w:r w:rsidRPr="00BE5187">
        <w:rPr>
          <w:rFonts w:ascii="Helvetica" w:eastAsia="宋体" w:hAnsi="Helvetica" w:cs="Helvetica"/>
          <w:b/>
          <w:bCs/>
          <w:color w:val="2B2B2B"/>
          <w:kern w:val="0"/>
          <w:sz w:val="27"/>
          <w:szCs w:val="27"/>
        </w:rPr>
        <w:t>45%:55%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该地块位于和平区大沽北路西侧，其四至为：东至大沽北路，南至保定道，西至建设路、现状建筑，北至赤峰道（以拍卖文件附图为准）。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该地块土地用途为城镇住宅、商服，出让土地面积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52242.8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平方米，下分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A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B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C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三个子地块，根据规划要求：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4114800" cy="5029200"/>
            <wp:effectExtent l="0" t="0" r="0" b="0"/>
            <wp:docPr id="7" name="图片 7" descr="https://s9.rr.itc.cn/r/wapChange/20166_29_15/a04uli18760930323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9.rr.itc.cn/r/wapChange/20166_29_15/a04uli1876093032359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▲A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地块面积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23168.2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平方米，规划用地性质为二类居住用地（兼容商业），地上建筑面积不大于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70100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平方米，其中居住建筑面积不大于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65000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平方米，商业建筑面积不大于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5100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平方米。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▲B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地块面积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19604.4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平方米，规划用地性质为二类居住用地、商务用地（兼容商业用地）。地上建筑面积不大于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145600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平方米，其中居住建筑面积不大于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81800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平方米，商业办公建筑面积不大于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63800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平方米。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5124450" cy="2743200"/>
            <wp:effectExtent l="0" t="0" r="0" b="0"/>
            <wp:docPr id="6" name="图片 6" descr="https://s9.rr.itc.cn/r/wapChange/20166_29_14/a443ub17736862458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9.rr.itc.cn/r/wapChange/20166_29_14/a443ub17736862458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drawing>
          <wp:inline distT="0" distB="0" distL="0" distR="0">
            <wp:extent cx="3530600" cy="5003800"/>
            <wp:effectExtent l="0" t="0" r="0" b="6350"/>
            <wp:docPr id="5" name="图片 5" descr="https://s9.rr.itc.cn/r/wapChange/20166_29_14/a2ujg117736969838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9.rr.itc.cn/r/wapChange/20166_29_14/a2ujg117736969838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lastRenderedPageBreak/>
        <w:t>▲C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用地面积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9470.2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平方米，规划用地性质为商务用地（兼容商业用地）。地上建筑面积不大于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61900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平方米，含一处微型消防站，建筑面积不小于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800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平方米。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drawing>
          <wp:inline distT="0" distB="0" distL="0" distR="0">
            <wp:extent cx="5029200" cy="1670050"/>
            <wp:effectExtent l="0" t="0" r="0" b="6350"/>
            <wp:docPr id="4" name="图片 4" descr="https://s9.rr.itc.cn/r/wapChange/20166_29_15/a27k8p18760947828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9.rr.itc.cn/r/wapChange/20166_29_15/a27k8p1876094782859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从体量上来看，地块规划总面积约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27.76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万平，其中居住类建筑面积约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15.19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万平，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商服类建筑面积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约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12.57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万平，商住比约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45%:55%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。位置上，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地块北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接大沽北路，西侧是中心花园，毗邻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号线、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号线两条地铁线，占据黄金区位。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5791200" cy="5829300"/>
            <wp:effectExtent l="0" t="0" r="0" b="0"/>
            <wp:docPr id="3" name="图片 3" descr="https://s9.rr.itc.cn/r/wapChange/20166_29_15/a05rpt18760959289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9.rr.itc.cn/r/wapChange/20166_29_15/a05rpt1876095928959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据房价君了解，该地块未来将打造为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“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核心金融中心及高品质居住社区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”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。目前地块周边供应量稀少，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70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年住宅产品更加罕量，仅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湯臣津湾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一品、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泰安道五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大院在售，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月备案均价分别在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8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，考虑到该地块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的楼面价，未来项目入市后，售价应不会低于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7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……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新地王单价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bookmarkStart w:id="0" w:name="_GoBack"/>
      <w:bookmarkEnd w:id="0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lastRenderedPageBreak/>
        <w:t>和平区因被市内其他五区围合其中，自身不具备外扩条件，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“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单位含金量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”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随着土地的紧缺而日渐提高。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2016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年以前，和平已三年多无宅地挂牌，目前在售住宅房源也比较稀缺，今年和平上一宗宅地的出让拍出了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的整体楼面价，一度刷新了近五年来的单价地王记录，而今日的大沽北路地块再次以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的成交单价创纪录。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2010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以来和平区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招拍挂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宅地出让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drawing>
          <wp:inline distT="0" distB="0" distL="0" distR="0">
            <wp:extent cx="6096000" cy="2228850"/>
            <wp:effectExtent l="0" t="0" r="0" b="0"/>
            <wp:docPr id="2" name="图片 2" descr="https://s9.rr.itc.cn/r/wapChange/20166_29_15/a72sw8187609739335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9.rr.itc.cn/r/wapChange/20166_29_15/a72sw81876097393359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2015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年以来，天津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高端住宅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市场持续升温，从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年前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个月的备案数据来看，目前天津单价最高的一批项目中，尚未公开发售的</w:t>
      </w:r>
      <w:proofErr w:type="gramStart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復</w:t>
      </w:r>
      <w:proofErr w:type="gramEnd"/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康路十一號已经去化七成，卖掉了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个亿，均价已过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万，鲁能公馆稳定在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4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+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、天房崇德园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、汤臣津湾一品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4……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多个豪宅成交量表现突出。</w:t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2016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年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1-5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月天津成交备案均价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+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的项目</w:t>
      </w:r>
    </w:p>
    <w:p w:rsidR="00BE5187" w:rsidRPr="00BE5187" w:rsidRDefault="00BE5187" w:rsidP="00BE5187">
      <w:pPr>
        <w:widowControl/>
        <w:shd w:val="clear" w:color="auto" w:fill="F9F9F9"/>
        <w:jc w:val="left"/>
        <w:rPr>
          <w:rFonts w:ascii="Helvetica" w:eastAsia="宋体" w:hAnsi="Helvetica" w:cs="Helvetica"/>
          <w:color w:val="2B2B2B"/>
          <w:kern w:val="0"/>
          <w:szCs w:val="21"/>
        </w:rPr>
      </w:pPr>
      <w:r w:rsidRPr="00BE5187">
        <w:rPr>
          <w:rFonts w:ascii="Helvetica" w:eastAsia="宋体" w:hAnsi="Helvetica" w:cs="Helvetica"/>
          <w:noProof/>
          <w:color w:val="2B2B2B"/>
          <w:kern w:val="0"/>
          <w:szCs w:val="21"/>
        </w:rPr>
        <w:lastRenderedPageBreak/>
        <w:drawing>
          <wp:inline distT="0" distB="0" distL="0" distR="0">
            <wp:extent cx="6096000" cy="5137150"/>
            <wp:effectExtent l="0" t="0" r="0" b="6350"/>
            <wp:docPr id="1" name="图片 1" descr="https://s9.rr.itc.cn/r/wapChange/20166_29_14/a9o70k17737560578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9.rr.itc.cn/r/wapChange/20166_29_14/a9o70k177375605785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3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187" w:rsidRPr="00BE5187" w:rsidRDefault="00BE5187" w:rsidP="00BE5187">
      <w:pPr>
        <w:widowControl/>
        <w:shd w:val="clear" w:color="auto" w:fill="F9F9F9"/>
        <w:spacing w:after="300"/>
        <w:rPr>
          <w:rFonts w:ascii="Helvetica" w:eastAsia="宋体" w:hAnsi="Helvetica" w:cs="Helvetica"/>
          <w:color w:val="2B2B2B"/>
          <w:kern w:val="0"/>
          <w:sz w:val="27"/>
          <w:szCs w:val="27"/>
        </w:rPr>
      </w:pP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啊啊啊啊啊什么都不说了，最高单价地王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了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3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万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6</w:t>
      </w:r>
      <w:r w:rsidRPr="00BE5187">
        <w:rPr>
          <w:rFonts w:ascii="Helvetica" w:eastAsia="宋体" w:hAnsi="Helvetica" w:cs="Helvetica"/>
          <w:color w:val="2B2B2B"/>
          <w:kern w:val="0"/>
          <w:sz w:val="27"/>
          <w:szCs w:val="27"/>
        </w:rPr>
        <w:t>了，现在看看是不是觉得上面这些豪宅都挺便宜的了？</w:t>
      </w:r>
    </w:p>
    <w:p w:rsidR="00EB21DB" w:rsidRPr="00BE5187" w:rsidRDefault="00EB21DB"/>
    <w:sectPr w:rsidR="00EB21DB" w:rsidRPr="00BE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1B"/>
    <w:rsid w:val="0064191B"/>
    <w:rsid w:val="00BE5187"/>
    <w:rsid w:val="00EB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05E7A-C6F3-4B77-8923-BBDB9D43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E51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51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E5187"/>
  </w:style>
  <w:style w:type="character" w:styleId="a3">
    <w:name w:val="Hyperlink"/>
    <w:basedOn w:val="a0"/>
    <w:uiPriority w:val="99"/>
    <w:semiHidden/>
    <w:unhideWhenUsed/>
    <w:rsid w:val="00BE5187"/>
    <w:rPr>
      <w:color w:val="0000FF"/>
      <w:u w:val="single"/>
    </w:rPr>
  </w:style>
  <w:style w:type="paragraph" w:customStyle="1" w:styleId="para">
    <w:name w:val="para"/>
    <w:basedOn w:val="a"/>
    <w:rsid w:val="00BE51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5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39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003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4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0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43906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78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74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432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778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359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389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856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javascript:;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lxf</dc:creator>
  <cp:keywords/>
  <dc:description/>
  <cp:lastModifiedBy>lxf</cp:lastModifiedBy>
  <cp:revision>2</cp:revision>
  <dcterms:created xsi:type="dcterms:W3CDTF">2020-05-12T15:27:00Z</dcterms:created>
  <dcterms:modified xsi:type="dcterms:W3CDTF">2020-05-12T15:28:00Z</dcterms:modified>
</cp:coreProperties>
</file>