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589" w:rsidRDefault="00C22DD3">
      <w:pPr>
        <w:shd w:val="clear" w:color="auto" w:fill="FFFFFF"/>
        <w:jc w:val="center"/>
        <w:outlineLvl w:val="2"/>
        <w:rPr>
          <w:rFonts w:ascii="微软雅黑" w:hAnsi="微软雅黑" w:cs="Arial"/>
          <w:b/>
          <w:sz w:val="30"/>
          <w:szCs w:val="30"/>
        </w:rPr>
      </w:pPr>
      <w:r>
        <w:rPr>
          <w:rFonts w:ascii="微软雅黑" w:hAnsi="微软雅黑" w:cs="Arial" w:hint="eastAsia"/>
          <w:b/>
          <w:sz w:val="30"/>
          <w:szCs w:val="30"/>
        </w:rPr>
        <w:t>转让方案</w:t>
      </w:r>
    </w:p>
    <w:p w:rsidR="005B2477" w:rsidRPr="00C22DD3" w:rsidRDefault="005B2477" w:rsidP="0020706B">
      <w:pPr>
        <w:wordWrap w:val="0"/>
        <w:spacing w:beforeLines="30" w:before="93" w:afterLines="30" w:after="93" w:line="520" w:lineRule="atLeast"/>
        <w:rPr>
          <w:b/>
          <w:bCs/>
          <w:sz w:val="28"/>
          <w:szCs w:val="28"/>
        </w:rPr>
      </w:pPr>
      <w:r w:rsidRPr="00C22DD3">
        <w:rPr>
          <w:rFonts w:hint="eastAsia"/>
          <w:b/>
          <w:bCs/>
          <w:sz w:val="28"/>
          <w:szCs w:val="28"/>
        </w:rPr>
        <w:t>1.</w:t>
      </w:r>
      <w:r w:rsidRPr="00C22DD3">
        <w:rPr>
          <w:rFonts w:hint="eastAsia"/>
          <w:b/>
          <w:bCs/>
          <w:sz w:val="28"/>
          <w:szCs w:val="28"/>
        </w:rPr>
        <w:t>项目说明</w:t>
      </w:r>
    </w:p>
    <w:p w:rsidR="005B2477" w:rsidRDefault="00C22DD3" w:rsidP="0020706B">
      <w:pPr>
        <w:wordWrap w:val="0"/>
        <w:spacing w:beforeLines="30" w:before="93" w:afterLines="30" w:after="93" w:line="520" w:lineRule="atLeast"/>
        <w:rPr>
          <w:rFonts w:ascii="宋体" w:hAnsi="宋体" w:cs="宋体"/>
          <w:sz w:val="28"/>
          <w:szCs w:val="28"/>
        </w:rPr>
      </w:pPr>
      <w:r>
        <w:rPr>
          <w:rFonts w:ascii="宋体" w:hAnsi="宋体" w:cs="宋体" w:hint="eastAsia"/>
          <w:sz w:val="28"/>
          <w:szCs w:val="28"/>
        </w:rPr>
        <w:t>2010年10月22日经市政府批准，大同市国土资源交易事务中心依法对位于御东区恒安街北侧地块（地块编号2010-23号）进行了挂牌出让。我公司竞得了该宗地的国有建设用地使用权。</w:t>
      </w:r>
    </w:p>
    <w:p w:rsidR="00EF0589" w:rsidRDefault="005B2477" w:rsidP="0020706B">
      <w:pPr>
        <w:wordWrap w:val="0"/>
        <w:spacing w:beforeLines="30" w:before="93" w:afterLines="30" w:after="93" w:line="520" w:lineRule="atLeast"/>
        <w:rPr>
          <w:b/>
          <w:bCs/>
          <w:sz w:val="28"/>
          <w:szCs w:val="28"/>
        </w:rPr>
      </w:pPr>
      <w:r>
        <w:rPr>
          <w:rFonts w:hint="eastAsia"/>
          <w:b/>
          <w:bCs/>
          <w:sz w:val="28"/>
          <w:szCs w:val="28"/>
        </w:rPr>
        <w:t>2</w:t>
      </w:r>
      <w:r w:rsidR="00C22DD3">
        <w:rPr>
          <w:rFonts w:hint="eastAsia"/>
          <w:b/>
          <w:bCs/>
          <w:sz w:val="28"/>
          <w:szCs w:val="28"/>
        </w:rPr>
        <w:t>、项目</w:t>
      </w:r>
      <w:r w:rsidR="00C22DD3" w:rsidRPr="00C22DD3">
        <w:rPr>
          <w:rFonts w:ascii="宋体" w:hAnsi="宋体" w:cs="宋体" w:hint="eastAsia"/>
          <w:sz w:val="28"/>
          <w:szCs w:val="28"/>
        </w:rPr>
        <w:t>基本</w:t>
      </w:r>
      <w:r w:rsidR="00C22DD3">
        <w:rPr>
          <w:rFonts w:hint="eastAsia"/>
          <w:b/>
          <w:bCs/>
          <w:sz w:val="28"/>
          <w:szCs w:val="28"/>
        </w:rPr>
        <w:t>情况：</w:t>
      </w:r>
    </w:p>
    <w:p w:rsidR="00EF0589" w:rsidRDefault="001C4E16">
      <w:pPr>
        <w:autoSpaceDN w:val="0"/>
        <w:spacing w:line="360" w:lineRule="auto"/>
        <w:rPr>
          <w:rFonts w:ascii="微软雅黑" w:hAnsi="微软雅黑" w:cs="微软雅黑"/>
          <w:sz w:val="28"/>
          <w:szCs w:val="28"/>
        </w:rPr>
      </w:pPr>
      <w:r w:rsidRPr="001C4E16">
        <w:rPr>
          <w:rFonts w:hint="eastAsia"/>
          <w:bCs/>
          <w:sz w:val="28"/>
          <w:szCs w:val="28"/>
        </w:rPr>
        <w:t>项目</w:t>
      </w:r>
      <w:r w:rsidR="00C22DD3">
        <w:rPr>
          <w:rFonts w:ascii="微软雅黑" w:hAnsi="微软雅黑" w:cs="微软雅黑" w:hint="eastAsia"/>
          <w:sz w:val="28"/>
          <w:szCs w:val="28"/>
        </w:rPr>
        <w:t>是大同市首家城市综合体，位于大同市御东新区恒安街文兴路交汇处，地处大同新旧两区黄金轴线中枢位置。占地面积</w:t>
      </w:r>
      <w:r w:rsidR="00C22DD3">
        <w:rPr>
          <w:rFonts w:ascii="微软雅黑" w:hAnsi="微软雅黑" w:cs="微软雅黑" w:hint="eastAsia"/>
          <w:sz w:val="28"/>
          <w:szCs w:val="28"/>
        </w:rPr>
        <w:t>20894.95m</w:t>
      </w:r>
      <w:r w:rsidR="00C22DD3">
        <w:rPr>
          <w:rFonts w:ascii="微软雅黑" w:hAnsi="微软雅黑" w:cs="微软雅黑" w:hint="eastAsia"/>
          <w:sz w:val="28"/>
          <w:szCs w:val="28"/>
          <w:vertAlign w:val="superscript"/>
        </w:rPr>
        <w:t>2</w:t>
      </w:r>
      <w:r w:rsidR="00C22DD3">
        <w:rPr>
          <w:rFonts w:ascii="微软雅黑" w:hAnsi="微软雅黑" w:cs="微软雅黑" w:hint="eastAsia"/>
          <w:sz w:val="28"/>
          <w:szCs w:val="28"/>
        </w:rPr>
        <w:t>，总建筑面积</w:t>
      </w:r>
      <w:r w:rsidR="00C22DD3">
        <w:rPr>
          <w:rFonts w:ascii="微软雅黑" w:hAnsi="微软雅黑" w:cs="微软雅黑" w:hint="eastAsia"/>
          <w:sz w:val="28"/>
          <w:szCs w:val="28"/>
        </w:rPr>
        <w:t>148268</w:t>
      </w:r>
      <w:r w:rsidR="00C22DD3">
        <w:rPr>
          <w:rFonts w:ascii="微软雅黑" w:hAnsi="微软雅黑" w:cs="微软雅黑" w:hint="eastAsia"/>
          <w:sz w:val="28"/>
          <w:szCs w:val="28"/>
        </w:rPr>
        <w:t>平方米</w:t>
      </w:r>
      <w:r w:rsidR="00C22DD3">
        <w:rPr>
          <w:rFonts w:ascii="微软雅黑" w:hAnsi="微软雅黑" w:cs="微软雅黑"/>
          <w:sz w:val="28"/>
          <w:szCs w:val="28"/>
        </w:rPr>
        <w:t>，</w:t>
      </w:r>
      <w:r w:rsidR="00C22DD3">
        <w:rPr>
          <w:rFonts w:ascii="微软雅黑" w:hAnsi="微软雅黑" w:cs="微软雅黑" w:hint="eastAsia"/>
          <w:sz w:val="28"/>
          <w:szCs w:val="28"/>
        </w:rPr>
        <w:t>总投资约</w:t>
      </w:r>
      <w:r w:rsidR="00C22DD3">
        <w:rPr>
          <w:rFonts w:ascii="微软雅黑" w:hAnsi="微软雅黑" w:cs="微软雅黑" w:hint="eastAsia"/>
          <w:sz w:val="28"/>
          <w:szCs w:val="28"/>
        </w:rPr>
        <w:t>16</w:t>
      </w:r>
      <w:r w:rsidR="00C22DD3">
        <w:rPr>
          <w:rFonts w:ascii="微软雅黑" w:hAnsi="微软雅黑" w:cs="微软雅黑" w:hint="eastAsia"/>
          <w:sz w:val="28"/>
          <w:szCs w:val="28"/>
        </w:rPr>
        <w:t>亿。它是集国际五星级酒店（建筑面积为</w:t>
      </w:r>
      <w:r w:rsidR="00C22DD3">
        <w:rPr>
          <w:rFonts w:ascii="微软雅黑" w:hAnsi="微软雅黑" w:cs="微软雅黑" w:hint="eastAsia"/>
          <w:sz w:val="28"/>
          <w:szCs w:val="28"/>
        </w:rPr>
        <w:t>54791</w:t>
      </w:r>
      <w:r w:rsidR="00C22DD3">
        <w:rPr>
          <w:rFonts w:ascii="微软雅黑" w:hAnsi="微软雅黑" w:cs="微软雅黑" w:hint="eastAsia"/>
          <w:sz w:val="28"/>
          <w:szCs w:val="28"/>
        </w:rPr>
        <w:t>㎡），高端前沿购物广场（建筑面积为</w:t>
      </w:r>
      <w:r w:rsidR="00C22DD3">
        <w:rPr>
          <w:rFonts w:ascii="微软雅黑" w:hAnsi="微软雅黑" w:cs="微软雅黑" w:hint="eastAsia"/>
          <w:sz w:val="28"/>
          <w:szCs w:val="28"/>
        </w:rPr>
        <w:t>75676</w:t>
      </w:r>
      <w:r w:rsidR="00C22DD3">
        <w:rPr>
          <w:rFonts w:ascii="微软雅黑" w:hAnsi="微软雅黑" w:cs="微软雅黑" w:hint="eastAsia"/>
          <w:sz w:val="28"/>
          <w:szCs w:val="28"/>
        </w:rPr>
        <w:t>㎡），高端商务办公楼（建筑面积为</w:t>
      </w:r>
      <w:r w:rsidR="00C22DD3">
        <w:rPr>
          <w:rFonts w:ascii="微软雅黑" w:hAnsi="微软雅黑" w:cs="微软雅黑" w:hint="eastAsia"/>
          <w:sz w:val="28"/>
          <w:szCs w:val="28"/>
        </w:rPr>
        <w:t>17801</w:t>
      </w:r>
      <w:r w:rsidR="00C22DD3">
        <w:rPr>
          <w:rFonts w:ascii="微软雅黑" w:hAnsi="微软雅黑" w:cs="微软雅黑" w:hint="eastAsia"/>
          <w:sz w:val="28"/>
          <w:szCs w:val="28"/>
        </w:rPr>
        <w:t>㎡）于一体的新型城市</w:t>
      </w:r>
      <w:r w:rsidR="00C22DD3">
        <w:rPr>
          <w:rFonts w:ascii="微软雅黑" w:hAnsi="微软雅黑" w:cs="微软雅黑"/>
          <w:sz w:val="28"/>
          <w:szCs w:val="28"/>
        </w:rPr>
        <w:t>地标</w:t>
      </w:r>
      <w:r w:rsidR="00C22DD3">
        <w:rPr>
          <w:rFonts w:ascii="微软雅黑" w:hAnsi="微软雅黑" w:cs="微软雅黑"/>
          <w:sz w:val="28"/>
          <w:szCs w:val="28"/>
        </w:rPr>
        <w:t>CBD</w:t>
      </w:r>
      <w:r w:rsidR="00C22DD3">
        <w:rPr>
          <w:rFonts w:ascii="微软雅黑" w:hAnsi="微软雅黑" w:cs="微软雅黑"/>
          <w:sz w:val="28"/>
          <w:szCs w:val="28"/>
        </w:rPr>
        <w:t>商业</w:t>
      </w:r>
      <w:r w:rsidR="00C22DD3">
        <w:rPr>
          <w:rFonts w:ascii="微软雅黑" w:hAnsi="微软雅黑" w:cs="微软雅黑" w:hint="eastAsia"/>
          <w:sz w:val="28"/>
          <w:szCs w:val="28"/>
        </w:rPr>
        <w:t>中心</w:t>
      </w:r>
      <w:r w:rsidR="009D54EA">
        <w:rPr>
          <w:rFonts w:ascii="微软雅黑" w:hAnsi="微软雅黑" w:cs="微软雅黑" w:hint="eastAsia"/>
          <w:sz w:val="28"/>
          <w:szCs w:val="28"/>
        </w:rPr>
        <w:t>，证件齐全</w:t>
      </w:r>
      <w:r w:rsidR="00C22DD3">
        <w:rPr>
          <w:rFonts w:ascii="微软雅黑" w:hAnsi="微软雅黑" w:cs="微软雅黑" w:hint="eastAsia"/>
          <w:sz w:val="28"/>
          <w:szCs w:val="28"/>
        </w:rPr>
        <w:t>。</w:t>
      </w:r>
    </w:p>
    <w:p w:rsidR="00EF0589" w:rsidRDefault="00C22DD3" w:rsidP="00C22DD3">
      <w:pPr>
        <w:autoSpaceDN w:val="0"/>
        <w:spacing w:line="360" w:lineRule="auto"/>
        <w:ind w:firstLineChars="98" w:firstLine="275"/>
        <w:rPr>
          <w:rFonts w:ascii="微软雅黑" w:hAnsi="微软雅黑" w:cs="华文仿宋"/>
          <w:sz w:val="28"/>
          <w:szCs w:val="28"/>
        </w:rPr>
      </w:pPr>
      <w:r>
        <w:rPr>
          <w:rFonts w:ascii="微软雅黑" w:hAnsi="微软雅黑" w:cs="华文仿宋"/>
          <w:b/>
          <w:bCs/>
          <w:sz w:val="28"/>
          <w:szCs w:val="28"/>
        </w:rPr>
        <w:t>酒店（五星）</w:t>
      </w:r>
      <w:r>
        <w:rPr>
          <w:rFonts w:ascii="微软雅黑" w:hAnsi="微软雅黑" w:cs="华文仿宋"/>
          <w:b/>
          <w:bCs/>
          <w:sz w:val="28"/>
          <w:szCs w:val="28"/>
        </w:rPr>
        <w:br/>
      </w:r>
      <w:r>
        <w:rPr>
          <w:rFonts w:ascii="微软雅黑" w:hAnsi="微软雅黑" w:cs="华文仿宋" w:hint="eastAsia"/>
          <w:sz w:val="28"/>
          <w:szCs w:val="28"/>
        </w:rPr>
        <w:t>占地面积</w:t>
      </w:r>
      <w:r>
        <w:rPr>
          <w:rFonts w:ascii="微软雅黑" w:hAnsi="微软雅黑" w:cs="华文仿宋" w:hint="eastAsia"/>
          <w:sz w:val="28"/>
          <w:szCs w:val="28"/>
        </w:rPr>
        <w:t>6080</w:t>
      </w:r>
      <w:r>
        <w:rPr>
          <w:rFonts w:ascii="微软雅黑" w:hAnsi="微软雅黑" w:cs="华文仿宋" w:hint="eastAsia"/>
          <w:sz w:val="28"/>
          <w:szCs w:val="28"/>
        </w:rPr>
        <w:t>平方米，总建筑面积</w:t>
      </w:r>
      <w:r>
        <w:rPr>
          <w:rFonts w:ascii="微软雅黑" w:hAnsi="微软雅黑" w:cs="微软雅黑" w:hint="eastAsia"/>
          <w:b/>
          <w:bCs/>
          <w:sz w:val="28"/>
          <w:szCs w:val="28"/>
        </w:rPr>
        <w:t>54791</w:t>
      </w:r>
      <w:r>
        <w:rPr>
          <w:rFonts w:ascii="微软雅黑" w:hAnsi="微软雅黑" w:cs="华文仿宋" w:hint="eastAsia"/>
          <w:sz w:val="28"/>
          <w:szCs w:val="28"/>
        </w:rPr>
        <w:t>平方米</w:t>
      </w:r>
      <w:r>
        <w:rPr>
          <w:rFonts w:ascii="微软雅黑" w:hAnsi="微软雅黑" w:cs="华文仿宋"/>
          <w:sz w:val="28"/>
          <w:szCs w:val="28"/>
        </w:rPr>
        <w:t>。</w:t>
      </w:r>
      <w:r>
        <w:rPr>
          <w:rFonts w:ascii="微软雅黑" w:hAnsi="微软雅黑" w:cs="华文仿宋" w:hint="eastAsia"/>
          <w:sz w:val="28"/>
          <w:szCs w:val="28"/>
        </w:rPr>
        <w:t>地下两层，地上</w:t>
      </w:r>
      <w:r>
        <w:rPr>
          <w:rFonts w:ascii="微软雅黑" w:hAnsi="微软雅黑" w:cs="华文仿宋" w:hint="eastAsia"/>
          <w:sz w:val="28"/>
          <w:szCs w:val="28"/>
        </w:rPr>
        <w:t xml:space="preserve"> 24</w:t>
      </w:r>
      <w:r>
        <w:rPr>
          <w:rFonts w:ascii="微软雅黑" w:hAnsi="微软雅黑" w:cs="华文仿宋" w:hint="eastAsia"/>
          <w:sz w:val="28"/>
          <w:szCs w:val="28"/>
        </w:rPr>
        <w:t>层，高度</w:t>
      </w:r>
      <w:r>
        <w:rPr>
          <w:rFonts w:ascii="微软雅黑" w:hAnsi="微软雅黑" w:cs="华文仿宋" w:hint="eastAsia"/>
          <w:sz w:val="28"/>
          <w:szCs w:val="28"/>
        </w:rPr>
        <w:t>99.65</w:t>
      </w:r>
      <w:r>
        <w:rPr>
          <w:rFonts w:ascii="微软雅黑" w:hAnsi="微软雅黑" w:cs="华文仿宋" w:hint="eastAsia"/>
          <w:sz w:val="28"/>
          <w:szCs w:val="28"/>
        </w:rPr>
        <w:t>米。该项目是集国际知名五星级酒店的建筑标准和国际五星级酒店的管理方法于一体的真正名符其实的国际五星级大酒店。是山西省唯一一家拥有民用直升机停机坪的酒店。本酒店力图以时尚先进的生活理念、体贴温馨的人文关怀、独具特色的业态组合、动感现代的建筑规划，打造大同乃至华北地区的标志性建筑</w:t>
      </w:r>
      <w:r>
        <w:rPr>
          <w:rFonts w:ascii="微软雅黑" w:hAnsi="微软雅黑" w:cs="华文仿宋"/>
          <w:sz w:val="28"/>
          <w:szCs w:val="28"/>
        </w:rPr>
        <w:t>。</w:t>
      </w:r>
      <w:r>
        <w:rPr>
          <w:rFonts w:ascii="微软雅黑" w:hAnsi="微软雅黑" w:cs="华文仿宋"/>
          <w:sz w:val="28"/>
          <w:szCs w:val="28"/>
        </w:rPr>
        <w:br/>
      </w:r>
      <w:r>
        <w:rPr>
          <w:rFonts w:ascii="微软雅黑" w:hAnsi="微软雅黑" w:cs="华文仿宋" w:hint="eastAsia"/>
          <w:b/>
          <w:bCs/>
          <w:spacing w:val="8"/>
          <w:sz w:val="28"/>
          <w:szCs w:val="28"/>
        </w:rPr>
        <w:t xml:space="preserve">  </w:t>
      </w:r>
      <w:r>
        <w:rPr>
          <w:rFonts w:ascii="微软雅黑" w:hAnsi="微软雅黑" w:cs="华文仿宋"/>
          <w:b/>
          <w:bCs/>
          <w:spacing w:val="8"/>
          <w:sz w:val="28"/>
          <w:szCs w:val="28"/>
        </w:rPr>
        <w:t>购物中心</w:t>
      </w:r>
      <w:r>
        <w:rPr>
          <w:rFonts w:ascii="微软雅黑" w:hAnsi="微软雅黑" w:cs="华文仿宋"/>
          <w:b/>
          <w:bCs/>
          <w:spacing w:val="8"/>
          <w:sz w:val="28"/>
          <w:szCs w:val="28"/>
        </w:rPr>
        <w:br/>
      </w:r>
      <w:r>
        <w:rPr>
          <w:rFonts w:ascii="微软雅黑" w:hAnsi="微软雅黑" w:cs="华文仿宋" w:hint="eastAsia"/>
          <w:spacing w:val="8"/>
          <w:sz w:val="28"/>
          <w:szCs w:val="28"/>
        </w:rPr>
        <w:t>购物中心共</w:t>
      </w:r>
      <w:r>
        <w:rPr>
          <w:rFonts w:ascii="微软雅黑" w:hAnsi="微软雅黑" w:cs="华文仿宋" w:hint="eastAsia"/>
          <w:spacing w:val="8"/>
          <w:sz w:val="28"/>
          <w:szCs w:val="28"/>
        </w:rPr>
        <w:t>7</w:t>
      </w:r>
      <w:r>
        <w:rPr>
          <w:rFonts w:ascii="微软雅黑" w:hAnsi="微软雅黑" w:cs="华文仿宋" w:hint="eastAsia"/>
          <w:spacing w:val="8"/>
          <w:sz w:val="28"/>
          <w:szCs w:val="28"/>
        </w:rPr>
        <w:t>层</w:t>
      </w:r>
      <w:r>
        <w:rPr>
          <w:rFonts w:ascii="微软雅黑" w:hAnsi="微软雅黑" w:cs="华文仿宋"/>
          <w:spacing w:val="8"/>
          <w:sz w:val="28"/>
          <w:szCs w:val="28"/>
        </w:rPr>
        <w:t>，建筑面积</w:t>
      </w:r>
      <w:r>
        <w:rPr>
          <w:rFonts w:ascii="微软雅黑" w:hAnsi="微软雅黑" w:cs="微软雅黑" w:hint="eastAsia"/>
          <w:b/>
          <w:bCs/>
          <w:sz w:val="28"/>
          <w:szCs w:val="28"/>
        </w:rPr>
        <w:t>75676</w:t>
      </w:r>
      <w:r>
        <w:rPr>
          <w:rFonts w:ascii="微软雅黑" w:hAnsi="微软雅黑" w:cs="微软雅黑"/>
          <w:b/>
          <w:bCs/>
          <w:sz w:val="28"/>
          <w:szCs w:val="28"/>
        </w:rPr>
        <w:t>平方米。</w:t>
      </w:r>
      <w:r>
        <w:rPr>
          <w:rFonts w:ascii="微软雅黑" w:hAnsi="微软雅黑" w:cs="华文仿宋" w:hint="eastAsia"/>
          <w:spacing w:val="8"/>
          <w:sz w:val="28"/>
          <w:szCs w:val="28"/>
        </w:rPr>
        <w:t>其中地上</w:t>
      </w:r>
      <w:r>
        <w:rPr>
          <w:rFonts w:ascii="微软雅黑" w:hAnsi="微软雅黑" w:cs="华文仿宋" w:hint="eastAsia"/>
          <w:spacing w:val="8"/>
          <w:sz w:val="28"/>
          <w:szCs w:val="28"/>
        </w:rPr>
        <w:t>5</w:t>
      </w:r>
      <w:r>
        <w:rPr>
          <w:rFonts w:ascii="微软雅黑" w:hAnsi="微软雅黑" w:cs="华文仿宋" w:hint="eastAsia"/>
          <w:spacing w:val="8"/>
          <w:sz w:val="28"/>
          <w:szCs w:val="28"/>
        </w:rPr>
        <w:t>层局部</w:t>
      </w:r>
      <w:r>
        <w:rPr>
          <w:rFonts w:ascii="微软雅黑" w:hAnsi="微软雅黑" w:cs="华文仿宋" w:hint="eastAsia"/>
          <w:spacing w:val="8"/>
          <w:sz w:val="28"/>
          <w:szCs w:val="28"/>
        </w:rPr>
        <w:t>6</w:t>
      </w:r>
      <w:r>
        <w:rPr>
          <w:rFonts w:ascii="微软雅黑" w:hAnsi="微软雅黑" w:cs="华文仿宋" w:hint="eastAsia"/>
          <w:spacing w:val="8"/>
          <w:sz w:val="28"/>
          <w:szCs w:val="28"/>
        </w:rPr>
        <w:t>层，</w:t>
      </w:r>
      <w:r>
        <w:rPr>
          <w:rFonts w:ascii="微软雅黑" w:hAnsi="微软雅黑" w:cs="华文仿宋" w:hint="eastAsia"/>
          <w:spacing w:val="8"/>
          <w:sz w:val="28"/>
          <w:szCs w:val="28"/>
        </w:rPr>
        <w:lastRenderedPageBreak/>
        <w:t>地下</w:t>
      </w:r>
      <w:r>
        <w:rPr>
          <w:rFonts w:ascii="微软雅黑" w:hAnsi="微软雅黑" w:cs="华文仿宋" w:hint="eastAsia"/>
          <w:spacing w:val="8"/>
          <w:sz w:val="28"/>
          <w:szCs w:val="28"/>
        </w:rPr>
        <w:t>2</w:t>
      </w:r>
      <w:r>
        <w:rPr>
          <w:rFonts w:ascii="微软雅黑" w:hAnsi="微软雅黑" w:cs="华文仿宋" w:hint="eastAsia"/>
          <w:spacing w:val="8"/>
          <w:sz w:val="28"/>
          <w:szCs w:val="28"/>
        </w:rPr>
        <w:t>层。主要区域功能分别为：</w:t>
      </w:r>
      <w:r>
        <w:rPr>
          <w:rFonts w:ascii="微软雅黑" w:hAnsi="微软雅黑" w:cs="华文仿宋" w:hint="eastAsia"/>
          <w:spacing w:val="8"/>
          <w:sz w:val="28"/>
          <w:szCs w:val="28"/>
        </w:rPr>
        <w:t>B2</w:t>
      </w:r>
      <w:r>
        <w:rPr>
          <w:rFonts w:ascii="微软雅黑" w:hAnsi="微软雅黑" w:cs="华文仿宋" w:hint="eastAsia"/>
          <w:spacing w:val="8"/>
          <w:sz w:val="28"/>
          <w:szCs w:val="28"/>
        </w:rPr>
        <w:t>层为停车场；</w:t>
      </w:r>
      <w:r>
        <w:rPr>
          <w:rFonts w:ascii="微软雅黑" w:hAnsi="微软雅黑" w:cs="华文仿宋" w:hint="eastAsia"/>
          <w:spacing w:val="8"/>
          <w:sz w:val="28"/>
          <w:szCs w:val="28"/>
        </w:rPr>
        <w:t>B1</w:t>
      </w:r>
      <w:r>
        <w:rPr>
          <w:rFonts w:ascii="微软雅黑" w:hAnsi="微软雅黑" w:cs="华文仿宋" w:hint="eastAsia"/>
          <w:spacing w:val="8"/>
          <w:sz w:val="28"/>
          <w:szCs w:val="28"/>
        </w:rPr>
        <w:t>层为大型国际连锁超市；</w:t>
      </w:r>
      <w:r>
        <w:rPr>
          <w:rFonts w:ascii="微软雅黑" w:hAnsi="微软雅黑" w:cs="华文仿宋" w:hint="eastAsia"/>
          <w:sz w:val="28"/>
          <w:szCs w:val="28"/>
        </w:rPr>
        <w:t>F1-F3</w:t>
      </w:r>
      <w:r>
        <w:rPr>
          <w:rFonts w:ascii="微软雅黑" w:hAnsi="微软雅黑" w:cs="华文仿宋" w:hint="eastAsia"/>
          <w:sz w:val="28"/>
          <w:szCs w:val="28"/>
        </w:rPr>
        <w:t>层为商业主体部分；</w:t>
      </w:r>
      <w:r>
        <w:rPr>
          <w:rFonts w:ascii="微软雅黑" w:hAnsi="微软雅黑" w:cs="华文仿宋" w:hint="eastAsia"/>
          <w:sz w:val="28"/>
          <w:szCs w:val="28"/>
        </w:rPr>
        <w:t>F4</w:t>
      </w:r>
      <w:r>
        <w:rPr>
          <w:rFonts w:ascii="微软雅黑" w:hAnsi="微软雅黑" w:cs="华文仿宋" w:hint="eastAsia"/>
          <w:sz w:val="28"/>
          <w:szCs w:val="28"/>
        </w:rPr>
        <w:t>层为餐饮区域，</w:t>
      </w:r>
      <w:r>
        <w:rPr>
          <w:rFonts w:ascii="微软雅黑" w:hAnsi="微软雅黑" w:cs="华文仿宋" w:hint="eastAsia"/>
          <w:sz w:val="28"/>
          <w:szCs w:val="28"/>
        </w:rPr>
        <w:t>5</w:t>
      </w:r>
      <w:r>
        <w:rPr>
          <w:rFonts w:ascii="微软雅黑" w:hAnsi="微软雅黑" w:cs="华文仿宋" w:hint="eastAsia"/>
          <w:sz w:val="28"/>
          <w:szCs w:val="28"/>
        </w:rPr>
        <w:t>层东部为高</w:t>
      </w:r>
      <w:r>
        <w:rPr>
          <w:rFonts w:ascii="微软雅黑" w:hAnsi="微软雅黑" w:cs="华文仿宋" w:hint="eastAsia"/>
          <w:sz w:val="28"/>
          <w:szCs w:val="28"/>
        </w:rPr>
        <w:t>10.4</w:t>
      </w:r>
      <w:r>
        <w:rPr>
          <w:rFonts w:ascii="微软雅黑" w:hAnsi="微软雅黑" w:cs="华文仿宋" w:hint="eastAsia"/>
          <w:sz w:val="28"/>
          <w:szCs w:val="28"/>
        </w:rPr>
        <w:t>米的影院，五层西部设计为游泳乐园、健身房、水疗中心，属我市业态承载最齐全的商业综合体。我们运用互联网思维，在互联网</w:t>
      </w:r>
      <w:r>
        <w:rPr>
          <w:rFonts w:ascii="微软雅黑" w:hAnsi="微软雅黑" w:cs="华文仿宋" w:hint="eastAsia"/>
          <w:sz w:val="28"/>
          <w:szCs w:val="28"/>
        </w:rPr>
        <w:t>+</w:t>
      </w:r>
      <w:r>
        <w:rPr>
          <w:rFonts w:ascii="微软雅黑" w:hAnsi="微软雅黑" w:cs="华文仿宋" w:hint="eastAsia"/>
          <w:sz w:val="28"/>
          <w:szCs w:val="28"/>
        </w:rPr>
        <w:t>、大数据、云计算等科技背景下，以互联网为载体、线上线下结合的新兴体验式购物模式，让老百姓足不出户享受便捷高效的服务。</w:t>
      </w:r>
    </w:p>
    <w:p w:rsidR="00EF0589" w:rsidRDefault="00C22DD3" w:rsidP="00C22DD3">
      <w:pPr>
        <w:autoSpaceDN w:val="0"/>
        <w:spacing w:line="360" w:lineRule="auto"/>
        <w:ind w:firstLineChars="147" w:firstLine="413"/>
        <w:rPr>
          <w:rFonts w:ascii="微软雅黑" w:hAnsi="微软雅黑" w:cs="华文仿宋"/>
          <w:spacing w:val="8"/>
          <w:sz w:val="28"/>
          <w:szCs w:val="28"/>
        </w:rPr>
      </w:pPr>
      <w:r>
        <w:rPr>
          <w:rFonts w:ascii="微软雅黑" w:hAnsi="微软雅黑" w:cs="华文仿宋"/>
          <w:b/>
          <w:bCs/>
          <w:sz w:val="28"/>
          <w:szCs w:val="28"/>
        </w:rPr>
        <w:t>5A</w:t>
      </w:r>
      <w:r>
        <w:rPr>
          <w:rFonts w:ascii="微软雅黑" w:hAnsi="微软雅黑" w:cs="华文仿宋"/>
          <w:b/>
          <w:bCs/>
          <w:sz w:val="28"/>
          <w:szCs w:val="28"/>
        </w:rPr>
        <w:t>办公写字楼</w:t>
      </w:r>
      <w:r>
        <w:rPr>
          <w:rFonts w:ascii="微软雅黑" w:hAnsi="微软雅黑" w:cs="华文仿宋" w:hint="eastAsia"/>
          <w:sz w:val="28"/>
          <w:szCs w:val="28"/>
        </w:rPr>
        <w:br/>
      </w:r>
      <w:r>
        <w:rPr>
          <w:rFonts w:ascii="微软雅黑" w:hAnsi="微软雅黑" w:cs="华文仿宋" w:hint="eastAsia"/>
          <w:sz w:val="28"/>
          <w:szCs w:val="28"/>
        </w:rPr>
        <w:t>办公楼共计</w:t>
      </w:r>
      <w:r>
        <w:rPr>
          <w:rFonts w:ascii="微软雅黑" w:hAnsi="微软雅黑" w:cs="华文仿宋" w:hint="eastAsia"/>
          <w:sz w:val="28"/>
          <w:szCs w:val="28"/>
        </w:rPr>
        <w:t>16</w:t>
      </w:r>
      <w:r>
        <w:rPr>
          <w:rFonts w:ascii="微软雅黑" w:hAnsi="微软雅黑" w:cs="华文仿宋" w:hint="eastAsia"/>
          <w:sz w:val="28"/>
          <w:szCs w:val="28"/>
        </w:rPr>
        <w:t>层，</w:t>
      </w:r>
      <w:r>
        <w:rPr>
          <w:rFonts w:ascii="微软雅黑" w:hAnsi="微软雅黑" w:cs="微软雅黑" w:hint="eastAsia"/>
          <w:b/>
          <w:bCs/>
          <w:sz w:val="28"/>
          <w:szCs w:val="28"/>
        </w:rPr>
        <w:t>建筑面积为</w:t>
      </w:r>
      <w:r>
        <w:rPr>
          <w:rFonts w:ascii="微软雅黑" w:hAnsi="微软雅黑" w:cs="微软雅黑" w:hint="eastAsia"/>
          <w:b/>
          <w:bCs/>
          <w:sz w:val="28"/>
          <w:szCs w:val="28"/>
        </w:rPr>
        <w:t>17801</w:t>
      </w:r>
      <w:r>
        <w:rPr>
          <w:rFonts w:ascii="微软雅黑" w:hAnsi="微软雅黑" w:cs="微软雅黑" w:hint="eastAsia"/>
          <w:b/>
          <w:bCs/>
          <w:sz w:val="28"/>
          <w:szCs w:val="28"/>
        </w:rPr>
        <w:t>㎡</w:t>
      </w:r>
      <w:r>
        <w:rPr>
          <w:rFonts w:ascii="微软雅黑" w:hAnsi="微软雅黑" w:cs="微软雅黑"/>
          <w:b/>
          <w:bCs/>
          <w:sz w:val="28"/>
          <w:szCs w:val="28"/>
        </w:rPr>
        <w:t>。</w:t>
      </w:r>
      <w:r>
        <w:rPr>
          <w:rFonts w:ascii="微软雅黑" w:hAnsi="微软雅黑" w:cs="华文仿宋" w:hint="eastAsia"/>
          <w:sz w:val="28"/>
          <w:szCs w:val="28"/>
        </w:rPr>
        <w:t>其中</w:t>
      </w:r>
      <w:r>
        <w:rPr>
          <w:rFonts w:ascii="微软雅黑" w:hAnsi="微软雅黑" w:cs="华文仿宋" w:hint="eastAsia"/>
          <w:sz w:val="28"/>
          <w:szCs w:val="28"/>
        </w:rPr>
        <w:t>1</w:t>
      </w:r>
      <w:r>
        <w:rPr>
          <w:rFonts w:ascii="微软雅黑" w:hAnsi="微软雅黑" w:cs="华文仿宋" w:hint="eastAsia"/>
          <w:sz w:val="28"/>
          <w:szCs w:val="28"/>
        </w:rPr>
        <w:t>—</w:t>
      </w:r>
      <w:r>
        <w:rPr>
          <w:rFonts w:ascii="微软雅黑" w:hAnsi="微软雅黑" w:cs="华文仿宋" w:hint="eastAsia"/>
          <w:sz w:val="28"/>
          <w:szCs w:val="28"/>
        </w:rPr>
        <w:t>5</w:t>
      </w:r>
      <w:r>
        <w:rPr>
          <w:rFonts w:ascii="微软雅黑" w:hAnsi="微软雅黑" w:cs="华文仿宋" w:hint="eastAsia"/>
          <w:sz w:val="28"/>
          <w:szCs w:val="28"/>
        </w:rPr>
        <w:t>层与购物中心广场相贯通，用于商业，</w:t>
      </w:r>
      <w:r>
        <w:rPr>
          <w:rFonts w:ascii="微软雅黑" w:hAnsi="微软雅黑" w:cs="华文仿宋" w:hint="eastAsia"/>
          <w:sz w:val="28"/>
          <w:szCs w:val="28"/>
        </w:rPr>
        <w:t>6</w:t>
      </w:r>
      <w:r>
        <w:rPr>
          <w:rFonts w:ascii="微软雅黑" w:hAnsi="微软雅黑" w:cs="华文仿宋" w:hint="eastAsia"/>
          <w:sz w:val="28"/>
          <w:szCs w:val="28"/>
        </w:rPr>
        <w:t>层以上均为办公区域，</w:t>
      </w:r>
      <w:r>
        <w:rPr>
          <w:rFonts w:ascii="微软雅黑" w:hAnsi="微软雅黑" w:cs="华文仿宋" w:hint="eastAsia"/>
          <w:sz w:val="28"/>
          <w:szCs w:val="28"/>
        </w:rPr>
        <w:t>6</w:t>
      </w:r>
      <w:r>
        <w:rPr>
          <w:rFonts w:ascii="微软雅黑" w:hAnsi="微软雅黑" w:cs="华文仿宋" w:hint="eastAsia"/>
          <w:sz w:val="28"/>
          <w:szCs w:val="28"/>
        </w:rPr>
        <w:t>—</w:t>
      </w:r>
      <w:r>
        <w:rPr>
          <w:rFonts w:ascii="微软雅黑" w:hAnsi="微软雅黑" w:cs="华文仿宋" w:hint="eastAsia"/>
          <w:sz w:val="28"/>
          <w:szCs w:val="28"/>
        </w:rPr>
        <w:t>11</w:t>
      </w:r>
      <w:r>
        <w:rPr>
          <w:rFonts w:ascii="微软雅黑" w:hAnsi="微软雅黑" w:cs="华文仿宋" w:hint="eastAsia"/>
          <w:sz w:val="28"/>
          <w:szCs w:val="28"/>
        </w:rPr>
        <w:t>层层高为</w:t>
      </w:r>
      <w:r>
        <w:rPr>
          <w:rFonts w:ascii="微软雅黑" w:hAnsi="微软雅黑" w:cs="华文仿宋" w:hint="eastAsia"/>
          <w:sz w:val="28"/>
          <w:szCs w:val="28"/>
        </w:rPr>
        <w:t>3.9</w:t>
      </w:r>
      <w:r>
        <w:rPr>
          <w:rFonts w:ascii="微软雅黑" w:hAnsi="微软雅黑" w:cs="华文仿宋" w:hint="eastAsia"/>
          <w:sz w:val="28"/>
          <w:szCs w:val="28"/>
        </w:rPr>
        <w:t>米，</w:t>
      </w:r>
      <w:r>
        <w:rPr>
          <w:rFonts w:ascii="微软雅黑" w:hAnsi="微软雅黑" w:cs="华文仿宋" w:hint="eastAsia"/>
          <w:sz w:val="28"/>
          <w:szCs w:val="28"/>
        </w:rPr>
        <w:t>12</w:t>
      </w:r>
      <w:r>
        <w:rPr>
          <w:rFonts w:ascii="微软雅黑" w:hAnsi="微软雅黑" w:cs="华文仿宋" w:hint="eastAsia"/>
          <w:sz w:val="28"/>
          <w:szCs w:val="28"/>
        </w:rPr>
        <w:t>—</w:t>
      </w:r>
      <w:r>
        <w:rPr>
          <w:rFonts w:ascii="微软雅黑" w:hAnsi="微软雅黑" w:cs="华文仿宋" w:hint="eastAsia"/>
          <w:sz w:val="28"/>
          <w:szCs w:val="28"/>
        </w:rPr>
        <w:t>16</w:t>
      </w:r>
      <w:r>
        <w:rPr>
          <w:rFonts w:ascii="微软雅黑" w:hAnsi="微软雅黑" w:cs="华文仿宋" w:hint="eastAsia"/>
          <w:sz w:val="28"/>
          <w:szCs w:val="28"/>
        </w:rPr>
        <w:t>层层高为</w:t>
      </w:r>
      <w:r>
        <w:rPr>
          <w:rFonts w:ascii="微软雅黑" w:hAnsi="微软雅黑" w:cs="华文仿宋" w:hint="eastAsia"/>
          <w:sz w:val="28"/>
          <w:szCs w:val="28"/>
        </w:rPr>
        <w:t>6</w:t>
      </w:r>
      <w:r>
        <w:rPr>
          <w:rFonts w:ascii="微软雅黑" w:hAnsi="微软雅黑" w:cs="华文仿宋" w:hint="eastAsia"/>
          <w:sz w:val="28"/>
          <w:szCs w:val="28"/>
        </w:rPr>
        <w:t>米。商务办公楼采用</w:t>
      </w:r>
      <w:r>
        <w:rPr>
          <w:rFonts w:ascii="微软雅黑" w:hAnsi="微软雅黑" w:cs="华文仿宋" w:hint="eastAsia"/>
          <w:spacing w:val="8"/>
          <w:sz w:val="28"/>
          <w:szCs w:val="28"/>
        </w:rPr>
        <w:t>国际化设计理念，集办公智能化、通讯传输智能化、消防安保智能化；</w:t>
      </w:r>
      <w:hyperlink r:id="rId8" w:tgtFrame="_blank" w:history="1">
        <w:r>
          <w:rPr>
            <w:rStyle w:val="a4"/>
            <w:rFonts w:ascii="微软雅黑" w:hAnsi="微软雅黑" w:cs="华文仿宋" w:hint="eastAsia"/>
            <w:color w:val="auto"/>
            <w:spacing w:val="8"/>
            <w:sz w:val="28"/>
            <w:szCs w:val="28"/>
            <w:u w:val="none"/>
          </w:rPr>
          <w:t>楼宇</w:t>
        </w:r>
      </w:hyperlink>
      <w:r>
        <w:rPr>
          <w:rFonts w:ascii="微软雅黑" w:hAnsi="微软雅黑" w:cs="华文仿宋" w:hint="eastAsia"/>
          <w:spacing w:val="8"/>
          <w:sz w:val="28"/>
          <w:szCs w:val="28"/>
        </w:rPr>
        <w:t>自动化；管理国际化为一体的</w:t>
      </w:r>
      <w:r>
        <w:rPr>
          <w:rFonts w:ascii="微软雅黑" w:hAnsi="微软雅黑" w:cs="华文仿宋" w:hint="eastAsia"/>
          <w:spacing w:val="8"/>
          <w:sz w:val="28"/>
          <w:szCs w:val="28"/>
        </w:rPr>
        <w:t>5A</w:t>
      </w:r>
      <w:r>
        <w:rPr>
          <w:rFonts w:ascii="微软雅黑" w:hAnsi="微软雅黑" w:cs="华文仿宋" w:hint="eastAsia"/>
          <w:spacing w:val="8"/>
          <w:sz w:val="28"/>
          <w:szCs w:val="28"/>
        </w:rPr>
        <w:t>级商住两用写字楼。</w:t>
      </w:r>
    </w:p>
    <w:p w:rsidR="00C22DD3" w:rsidRDefault="00C22DD3" w:rsidP="00C22DD3">
      <w:pPr>
        <w:autoSpaceDN w:val="0"/>
        <w:spacing w:line="360" w:lineRule="auto"/>
        <w:ind w:firstLineChars="147" w:firstLine="435"/>
        <w:rPr>
          <w:rFonts w:ascii="微软雅黑" w:hAnsi="微软雅黑" w:cs="华文仿宋"/>
          <w:spacing w:val="8"/>
          <w:sz w:val="28"/>
          <w:szCs w:val="28"/>
        </w:rPr>
      </w:pPr>
    </w:p>
    <w:p w:rsidR="00EF0589" w:rsidRDefault="00C22DD3">
      <w:pPr>
        <w:autoSpaceDN w:val="0"/>
        <w:spacing w:line="360" w:lineRule="auto"/>
        <w:ind w:firstLineChars="100" w:firstLine="280"/>
        <w:rPr>
          <w:rFonts w:ascii="微软雅黑" w:hAnsi="微软雅黑" w:cs="仿宋"/>
          <w:sz w:val="28"/>
          <w:szCs w:val="28"/>
        </w:rPr>
      </w:pPr>
      <w:r>
        <w:rPr>
          <w:rFonts w:ascii="微软雅黑" w:hAnsi="微软雅黑" w:hint="eastAsia"/>
          <w:sz w:val="28"/>
          <w:szCs w:val="28"/>
        </w:rPr>
        <w:t>目前</w:t>
      </w:r>
      <w:r>
        <w:rPr>
          <w:rFonts w:ascii="宋体" w:hAnsi="宋体" w:cs="宋体" w:hint="eastAsia"/>
          <w:kern w:val="0"/>
          <w:sz w:val="28"/>
          <w:szCs w:val="28"/>
        </w:rPr>
        <w:t>项目</w:t>
      </w:r>
      <w:r>
        <w:rPr>
          <w:rFonts w:ascii="微软雅黑" w:hAnsi="微软雅黑" w:hint="eastAsia"/>
          <w:sz w:val="28"/>
          <w:szCs w:val="28"/>
        </w:rPr>
        <w:t>主体已封顶，</w:t>
      </w:r>
      <w:r>
        <w:rPr>
          <w:rFonts w:ascii="微软雅黑" w:hAnsi="微软雅黑" w:cs="仿宋" w:hint="eastAsia"/>
          <w:sz w:val="28"/>
          <w:szCs w:val="28"/>
        </w:rPr>
        <w:t>二次结构工程已完工，外幕墙工程已完工</w:t>
      </w:r>
      <w:r>
        <w:rPr>
          <w:rFonts w:ascii="微软雅黑" w:hAnsi="微软雅黑" w:cs="仿宋" w:hint="eastAsia"/>
          <w:sz w:val="28"/>
          <w:szCs w:val="28"/>
        </w:rPr>
        <w:t>99%</w:t>
      </w:r>
      <w:r>
        <w:rPr>
          <w:rFonts w:ascii="微软雅黑" w:hAnsi="微软雅黑" w:cs="仿宋" w:hint="eastAsia"/>
          <w:sz w:val="28"/>
          <w:szCs w:val="28"/>
        </w:rPr>
        <w:t>，安装工程完成</w:t>
      </w:r>
      <w:r>
        <w:rPr>
          <w:rFonts w:ascii="微软雅黑" w:hAnsi="微软雅黑" w:cs="仿宋" w:hint="eastAsia"/>
          <w:sz w:val="28"/>
          <w:szCs w:val="28"/>
        </w:rPr>
        <w:t>80%</w:t>
      </w:r>
      <w:r>
        <w:rPr>
          <w:rFonts w:ascii="微软雅黑" w:hAnsi="微软雅黑" w:cs="仿宋" w:hint="eastAsia"/>
          <w:sz w:val="28"/>
          <w:szCs w:val="28"/>
        </w:rPr>
        <w:t>。室内装修工程</w:t>
      </w:r>
      <w:r>
        <w:rPr>
          <w:rFonts w:ascii="微软雅黑" w:hAnsi="微软雅黑" w:cs="仿宋"/>
          <w:sz w:val="28"/>
          <w:szCs w:val="28"/>
        </w:rPr>
        <w:t>待启动，周边环境和业态相当成熟，已经具</w:t>
      </w:r>
      <w:r>
        <w:rPr>
          <w:rFonts w:ascii="微软雅黑" w:hAnsi="微软雅黑" w:cs="仿宋" w:hint="eastAsia"/>
          <w:sz w:val="28"/>
          <w:szCs w:val="28"/>
        </w:rPr>
        <w:t>备</w:t>
      </w:r>
      <w:r>
        <w:rPr>
          <w:rFonts w:ascii="微软雅黑" w:hAnsi="微软雅黑" w:cs="仿宋"/>
          <w:sz w:val="28"/>
          <w:szCs w:val="28"/>
        </w:rPr>
        <w:t>了运营商业综合体的所有条件。</w:t>
      </w:r>
    </w:p>
    <w:p w:rsidR="00EF0589" w:rsidRDefault="00C22DD3">
      <w:pPr>
        <w:ind w:firstLineChars="200" w:firstLine="560"/>
        <w:rPr>
          <w:rFonts w:ascii="宋体" w:hAnsi="宋体" w:cs="宋体"/>
          <w:sz w:val="28"/>
          <w:szCs w:val="28"/>
        </w:rPr>
      </w:pPr>
      <w:r>
        <w:rPr>
          <w:rFonts w:ascii="宋体" w:hAnsi="宋体" w:hint="eastAsia"/>
          <w:sz w:val="28"/>
          <w:szCs w:val="28"/>
        </w:rPr>
        <w:t>目前大同市最高端商场为华林新天地、百盛、</w:t>
      </w:r>
      <w:r>
        <w:rPr>
          <w:rFonts w:ascii="宋体" w:hAnsi="宋体" w:cs="宋体" w:hint="eastAsia"/>
          <w:sz w:val="28"/>
          <w:szCs w:val="28"/>
        </w:rPr>
        <w:t>万达三大商场。将以御东新区为目标，构筑起大同御东新区新商圈，服务周边入驻“太阳宫”政务大楼的市委、市政府和各级机关以及中高端小区居民。</w:t>
      </w:r>
    </w:p>
    <w:p w:rsidR="00EF0589" w:rsidRDefault="00C22DD3">
      <w:pPr>
        <w:jc w:val="left"/>
        <w:rPr>
          <w:rFonts w:ascii="宋体" w:hAnsi="宋体" w:cs="宋体"/>
          <w:sz w:val="28"/>
          <w:szCs w:val="28"/>
        </w:rPr>
      </w:pPr>
      <w:r>
        <w:rPr>
          <w:rFonts w:ascii="宋体" w:hAnsi="宋体" w:cs="宋体" w:hint="eastAsia"/>
          <w:sz w:val="28"/>
          <w:szCs w:val="28"/>
        </w:rPr>
        <w:t xml:space="preserve">    </w:t>
      </w:r>
      <w:r w:rsidR="001C4E16">
        <w:rPr>
          <w:rFonts w:ascii="宋体" w:hAnsi="宋体" w:cs="宋体" w:hint="eastAsia"/>
          <w:kern w:val="0"/>
          <w:sz w:val="28"/>
          <w:szCs w:val="28"/>
        </w:rPr>
        <w:t>项目</w:t>
      </w:r>
      <w:r>
        <w:rPr>
          <w:rFonts w:ascii="宋体" w:hAnsi="宋体" w:cs="宋体" w:hint="eastAsia"/>
          <w:sz w:val="28"/>
          <w:szCs w:val="28"/>
        </w:rPr>
        <w:t>拥有完整的业态、庞大的体量、超前的设计，高端的定位又地处迎宾街和恒安街中轴线这一黄金大道之中，东临五大场馆、开发区，西接太阳宫政务大楼，毗邻政务审批中心，占领御东新城“中心</w:t>
      </w:r>
      <w:r>
        <w:rPr>
          <w:rFonts w:ascii="宋体" w:hAnsi="宋体" w:cs="宋体" w:hint="eastAsia"/>
          <w:sz w:val="28"/>
          <w:szCs w:val="28"/>
        </w:rPr>
        <w:lastRenderedPageBreak/>
        <w:t>商业区域”和“核心商务区域”龙头的优势，是现今大同功能最完备、设施最先进、装修最奢华、服务最顶尖的首席城市商业综合体项目。</w:t>
      </w:r>
    </w:p>
    <w:p w:rsidR="00346A2E" w:rsidRDefault="00C22DD3">
      <w:pPr>
        <w:rPr>
          <w:rFonts w:ascii="宋体" w:hAnsi="宋体" w:cs="宋体"/>
          <w:sz w:val="28"/>
          <w:szCs w:val="28"/>
        </w:rPr>
      </w:pPr>
      <w:r>
        <w:rPr>
          <w:rFonts w:ascii="宋体" w:hAnsi="宋体" w:cs="宋体" w:hint="eastAsia"/>
          <w:sz w:val="28"/>
          <w:szCs w:val="28"/>
        </w:rPr>
        <w:t>以</w:t>
      </w:r>
      <w:r w:rsidR="001C4E16">
        <w:rPr>
          <w:rFonts w:ascii="宋体" w:hAnsi="宋体" w:cs="宋体" w:hint="eastAsia"/>
          <w:kern w:val="0"/>
          <w:sz w:val="28"/>
          <w:szCs w:val="28"/>
        </w:rPr>
        <w:t>项目</w:t>
      </w:r>
      <w:r>
        <w:rPr>
          <w:rFonts w:ascii="宋体" w:hAnsi="宋体" w:cs="宋体" w:hint="eastAsia"/>
          <w:sz w:val="28"/>
          <w:szCs w:val="28"/>
        </w:rPr>
        <w:t>为中心的2.5公里内覆盖了80%的大同市高端人群。区域内还集聚了唯一一所大学、3家医院、2所重点高中以及机关办公区、豪华住宅区、5大场馆等庞大的消费资源。已形成被恒大、富力、东方名城、星港御澜湾、华北星城、亲水湾龙园、江鸿铂蓝郡、复地、绿地等大同众多高档、知名小区簇拥，大同市政务审批中心、市公安局、市检察院、市中级法院、市环保局、市疾控中心环绕的核心位置。</w:t>
      </w:r>
    </w:p>
    <w:p w:rsidR="00EF0589" w:rsidRDefault="00F94A24">
      <w:pPr>
        <w:rPr>
          <w:rFonts w:ascii="仿宋" w:eastAsia="仿宋" w:hAnsi="仿宋"/>
          <w:b/>
          <w:bCs/>
          <w:kern w:val="0"/>
          <w:sz w:val="28"/>
          <w:szCs w:val="28"/>
        </w:rPr>
      </w:pPr>
      <w:r>
        <w:rPr>
          <w:rFonts w:ascii="仿宋" w:eastAsia="仿宋" w:hAnsi="仿宋" w:hint="eastAsia"/>
          <w:b/>
          <w:bCs/>
          <w:kern w:val="0"/>
          <w:sz w:val="28"/>
          <w:szCs w:val="28"/>
        </w:rPr>
        <w:t>3</w:t>
      </w:r>
      <w:r w:rsidR="00C22DD3">
        <w:rPr>
          <w:rFonts w:ascii="仿宋" w:eastAsia="仿宋" w:hAnsi="仿宋" w:hint="eastAsia"/>
          <w:b/>
          <w:bCs/>
          <w:kern w:val="0"/>
          <w:sz w:val="28"/>
          <w:szCs w:val="28"/>
        </w:rPr>
        <w:t>、经营测算</w:t>
      </w:r>
      <w:bookmarkStart w:id="0" w:name="_Toc21869"/>
      <w:bookmarkStart w:id="1" w:name="_Toc4409"/>
      <w:bookmarkStart w:id="2" w:name="_Toc23026"/>
      <w:bookmarkStart w:id="3" w:name="_Toc19384"/>
      <w:bookmarkStart w:id="4" w:name="_Toc25451"/>
      <w:bookmarkStart w:id="5" w:name="_Toc17369"/>
    </w:p>
    <w:p w:rsidR="00EF0589" w:rsidRDefault="00C22DD3">
      <w:pPr>
        <w:rPr>
          <w:rFonts w:ascii="仿宋" w:eastAsia="仿宋" w:hAnsi="仿宋"/>
          <w:kern w:val="0"/>
          <w:sz w:val="28"/>
          <w:szCs w:val="28"/>
        </w:rPr>
      </w:pPr>
      <w:r>
        <w:rPr>
          <w:rFonts w:eastAsia="仿宋" w:cs="Calibri"/>
          <w:kern w:val="0"/>
          <w:sz w:val="28"/>
          <w:szCs w:val="28"/>
        </w:rPr>
        <w:t>①</w:t>
      </w:r>
      <w:r>
        <w:rPr>
          <w:rFonts w:ascii="仿宋" w:eastAsia="仿宋" w:hAnsi="仿宋" w:hint="eastAsia"/>
          <w:kern w:val="0"/>
          <w:sz w:val="28"/>
          <w:szCs w:val="28"/>
        </w:rPr>
        <w:t>商场经营测算</w:t>
      </w:r>
      <w:bookmarkEnd w:id="0"/>
      <w:bookmarkEnd w:id="1"/>
      <w:bookmarkEnd w:id="2"/>
      <w:bookmarkEnd w:id="3"/>
      <w:bookmarkEnd w:id="4"/>
      <w:bookmarkEnd w:id="5"/>
    </w:p>
    <w:tbl>
      <w:tblPr>
        <w:tblW w:w="8890" w:type="dxa"/>
        <w:tblCellMar>
          <w:left w:w="0" w:type="dxa"/>
          <w:right w:w="0" w:type="dxa"/>
        </w:tblCellMar>
        <w:tblLook w:val="04A0" w:firstRow="1" w:lastRow="0" w:firstColumn="1" w:lastColumn="0" w:noHBand="0" w:noVBand="1"/>
      </w:tblPr>
      <w:tblGrid>
        <w:gridCol w:w="1230"/>
        <w:gridCol w:w="1280"/>
        <w:gridCol w:w="680"/>
        <w:gridCol w:w="950"/>
        <w:gridCol w:w="1210"/>
        <w:gridCol w:w="1010"/>
        <w:gridCol w:w="1050"/>
        <w:gridCol w:w="1030"/>
        <w:gridCol w:w="730"/>
      </w:tblGrid>
      <w:tr w:rsidR="00EF0589">
        <w:trPr>
          <w:trHeight w:val="522"/>
        </w:trPr>
        <w:tc>
          <w:tcPr>
            <w:tcW w:w="1230" w:type="dxa"/>
            <w:vMerge w:val="restart"/>
            <w:tcBorders>
              <w:top w:val="single" w:sz="4" w:space="0" w:color="auto"/>
              <w:left w:val="single" w:sz="4" w:space="0" w:color="auto"/>
              <w:bottom w:val="single" w:sz="4" w:space="0" w:color="auto"/>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1000" w:type="dxa"/>
            <w:vMerge w:val="restar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680" w:type="dxa"/>
            <w:vMerge w:val="restar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950" w:type="dxa"/>
            <w:vMerge w:val="restar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备注</w:t>
            </w:r>
          </w:p>
        </w:tc>
        <w:tc>
          <w:tcPr>
            <w:tcW w:w="3270" w:type="dxa"/>
            <w:gridSpan w:val="3"/>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前三年营业额预期偏保守</w:t>
            </w:r>
          </w:p>
        </w:tc>
        <w:tc>
          <w:tcPr>
            <w:tcW w:w="1030" w:type="dxa"/>
            <w:tcBorders>
              <w:top w:val="single" w:sz="4" w:space="0" w:color="auto"/>
              <w:left w:val="nil"/>
              <w:bottom w:val="single" w:sz="4" w:space="0" w:color="auto"/>
              <w:right w:val="nil"/>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730"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r>
      <w:tr w:rsidR="00EF0589">
        <w:trPr>
          <w:trHeight w:val="522"/>
        </w:trPr>
        <w:tc>
          <w:tcPr>
            <w:tcW w:w="1230" w:type="dxa"/>
            <w:vMerge/>
            <w:tcBorders>
              <w:top w:val="single" w:sz="4" w:space="0" w:color="auto"/>
              <w:left w:val="single" w:sz="4" w:space="0" w:color="auto"/>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1000" w:type="dxa"/>
            <w:vMerge/>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680" w:type="dxa"/>
            <w:vMerge/>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950" w:type="dxa"/>
            <w:vMerge/>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第一年</w:t>
            </w:r>
          </w:p>
        </w:tc>
        <w:tc>
          <w:tcPr>
            <w:tcW w:w="0" w:type="auto"/>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第二年</w:t>
            </w:r>
          </w:p>
        </w:tc>
        <w:tc>
          <w:tcPr>
            <w:tcW w:w="0" w:type="auto"/>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第三年</w:t>
            </w:r>
          </w:p>
        </w:tc>
        <w:tc>
          <w:tcPr>
            <w:tcW w:w="0" w:type="auto"/>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第四年</w:t>
            </w:r>
          </w:p>
        </w:tc>
        <w:tc>
          <w:tcPr>
            <w:tcW w:w="0" w:type="auto"/>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第五年</w:t>
            </w:r>
          </w:p>
        </w:tc>
      </w:tr>
      <w:tr w:rsidR="00EF0589">
        <w:trPr>
          <w:trHeight w:val="980"/>
        </w:trPr>
        <w:tc>
          <w:tcPr>
            <w:tcW w:w="0" w:type="auto"/>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占比</w:t>
            </w:r>
          </w:p>
        </w:tc>
        <w:tc>
          <w:tcPr>
            <w:tcW w:w="0" w:type="auto"/>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950" w:type="dxa"/>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以2018年大同城镇零售销售总额为准</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2.8</w:t>
            </w:r>
          </w:p>
        </w:tc>
      </w:tr>
      <w:tr w:rsidR="00EF0589">
        <w:trPr>
          <w:trHeight w:val="799"/>
        </w:trPr>
        <w:tc>
          <w:tcPr>
            <w:tcW w:w="0" w:type="auto"/>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公司利润</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销售额（亿）</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9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6.56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10.75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13.73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16.71</w:t>
            </w:r>
          </w:p>
        </w:tc>
      </w:tr>
      <w:tr w:rsidR="00EF0589">
        <w:trPr>
          <w:trHeight w:val="799"/>
        </w:trPr>
        <w:tc>
          <w:tcPr>
            <w:tcW w:w="0" w:type="auto"/>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含税毛利额</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1.18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1.50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1.93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2.47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3.01 </w:t>
            </w:r>
          </w:p>
        </w:tc>
      </w:tr>
      <w:tr w:rsidR="00EF0589">
        <w:trPr>
          <w:trHeight w:val="799"/>
        </w:trPr>
        <w:tc>
          <w:tcPr>
            <w:tcW w:w="1230"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公司成本</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增值税</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w:t>
            </w:r>
          </w:p>
        </w:tc>
      </w:tr>
      <w:tr w:rsidR="00EF0589">
        <w:trPr>
          <w:trHeight w:val="799"/>
        </w:trPr>
        <w:tc>
          <w:tcPr>
            <w:tcW w:w="123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人员成本</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9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按照350人的</w:t>
            </w:r>
            <w:r>
              <w:rPr>
                <w:rFonts w:ascii="微软雅黑" w:eastAsia="微软雅黑" w:hAnsi="微软雅黑" w:cs="微软雅黑" w:hint="eastAsia"/>
                <w:color w:val="000000"/>
                <w:kern w:val="0"/>
                <w:sz w:val="18"/>
                <w:szCs w:val="18"/>
              </w:rPr>
              <w:br/>
              <w:t>规模参考</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0.101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0.104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0.107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0.110</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0.114</w:t>
            </w:r>
          </w:p>
        </w:tc>
      </w:tr>
      <w:tr w:rsidR="00EF0589">
        <w:trPr>
          <w:trHeight w:val="799"/>
        </w:trPr>
        <w:tc>
          <w:tcPr>
            <w:tcW w:w="123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水电</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9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相似商</w:t>
            </w:r>
            <w:r>
              <w:rPr>
                <w:rFonts w:ascii="微软雅黑" w:eastAsia="微软雅黑" w:hAnsi="微软雅黑" w:cs="微软雅黑" w:hint="eastAsia"/>
                <w:color w:val="000000"/>
                <w:kern w:val="0"/>
                <w:sz w:val="18"/>
                <w:szCs w:val="18"/>
              </w:rPr>
              <w:br/>
              <w:t>场参考</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0.07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0.07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0.08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0.09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0.09 </w:t>
            </w:r>
          </w:p>
        </w:tc>
      </w:tr>
      <w:tr w:rsidR="00EF0589">
        <w:trPr>
          <w:trHeight w:val="799"/>
        </w:trPr>
        <w:tc>
          <w:tcPr>
            <w:tcW w:w="123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折旧</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9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0.26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0.26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0.26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0.26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0.26 </w:t>
            </w:r>
          </w:p>
        </w:tc>
      </w:tr>
      <w:tr w:rsidR="00EF0589">
        <w:trPr>
          <w:trHeight w:val="799"/>
        </w:trPr>
        <w:tc>
          <w:tcPr>
            <w:tcW w:w="123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10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广告费</w:t>
            </w:r>
          </w:p>
        </w:tc>
        <w:tc>
          <w:tcPr>
            <w:tcW w:w="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9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第一年3%，第2~3年2%，</w:t>
            </w:r>
          </w:p>
        </w:tc>
        <w:tc>
          <w:tcPr>
            <w:tcW w:w="12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0.03 </w:t>
            </w:r>
          </w:p>
        </w:tc>
        <w:tc>
          <w:tcPr>
            <w:tcW w:w="10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0.02 </w:t>
            </w:r>
          </w:p>
        </w:tc>
        <w:tc>
          <w:tcPr>
            <w:tcW w:w="10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0.02 </w:t>
            </w:r>
          </w:p>
        </w:tc>
        <w:tc>
          <w:tcPr>
            <w:tcW w:w="10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0.01 </w:t>
            </w:r>
          </w:p>
        </w:tc>
        <w:tc>
          <w:tcPr>
            <w:tcW w:w="7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0.01 </w:t>
            </w:r>
          </w:p>
        </w:tc>
      </w:tr>
      <w:tr w:rsidR="00EF0589">
        <w:trPr>
          <w:trHeight w:val="799"/>
        </w:trPr>
        <w:tc>
          <w:tcPr>
            <w:tcW w:w="123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其他不可预见费</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12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0.05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0.03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0.02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0.01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0.01 </w:t>
            </w:r>
          </w:p>
        </w:tc>
      </w:tr>
      <w:tr w:rsidR="00EF0589">
        <w:trPr>
          <w:trHeight w:val="799"/>
        </w:trPr>
        <w:tc>
          <w:tcPr>
            <w:tcW w:w="123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总计</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0.68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0.70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0.76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0.84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0.92 </w:t>
            </w:r>
          </w:p>
        </w:tc>
      </w:tr>
      <w:tr w:rsidR="00EF0589">
        <w:trPr>
          <w:trHeight w:val="799"/>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支出汇总</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0.68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0.70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0.76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0.84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0.92 </w:t>
            </w:r>
          </w:p>
        </w:tc>
      </w:tr>
      <w:tr w:rsidR="00EF0589">
        <w:trPr>
          <w:trHeight w:val="799"/>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sz w:val="18"/>
                <w:szCs w:val="18"/>
              </w:rPr>
            </w:pPr>
            <w:r>
              <w:rPr>
                <w:rFonts w:ascii="微软雅黑" w:eastAsia="微软雅黑" w:hAnsi="微软雅黑" w:cs="微软雅黑" w:hint="eastAsia"/>
                <w:kern w:val="0"/>
                <w:sz w:val="18"/>
                <w:szCs w:val="18"/>
              </w:rPr>
              <w:t>税前利润</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微软雅黑" w:eastAsia="微软雅黑" w:hAnsi="微软雅黑" w:cs="微软雅黑"/>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sz w:val="18"/>
                <w:szCs w:val="18"/>
              </w:rPr>
            </w:pPr>
            <w:r>
              <w:rPr>
                <w:rFonts w:ascii="微软雅黑" w:eastAsia="微软雅黑" w:hAnsi="微软雅黑" w:cs="微软雅黑" w:hint="eastAsia"/>
                <w:kern w:val="0"/>
                <w:sz w:val="18"/>
                <w:szCs w:val="18"/>
              </w:rPr>
              <w:t xml:space="preserve">0.50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sz w:val="18"/>
                <w:szCs w:val="18"/>
              </w:rPr>
            </w:pPr>
            <w:r>
              <w:rPr>
                <w:rFonts w:ascii="微软雅黑" w:eastAsia="微软雅黑" w:hAnsi="微软雅黑" w:cs="微软雅黑" w:hint="eastAsia"/>
                <w:kern w:val="0"/>
                <w:sz w:val="18"/>
                <w:szCs w:val="18"/>
              </w:rPr>
              <w:t xml:space="preserve">0.80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sz w:val="18"/>
                <w:szCs w:val="18"/>
              </w:rPr>
            </w:pPr>
            <w:r>
              <w:rPr>
                <w:rFonts w:ascii="微软雅黑" w:eastAsia="微软雅黑" w:hAnsi="微软雅黑" w:cs="微软雅黑" w:hint="eastAsia"/>
                <w:kern w:val="0"/>
                <w:sz w:val="18"/>
                <w:szCs w:val="18"/>
              </w:rPr>
              <w:t xml:space="preserve">1.17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sz w:val="18"/>
                <w:szCs w:val="18"/>
              </w:rPr>
            </w:pPr>
            <w:r>
              <w:rPr>
                <w:rFonts w:ascii="微软雅黑" w:eastAsia="微软雅黑" w:hAnsi="微软雅黑" w:cs="微软雅黑" w:hint="eastAsia"/>
                <w:kern w:val="0"/>
                <w:sz w:val="18"/>
                <w:szCs w:val="18"/>
              </w:rPr>
              <w:t xml:space="preserve">1.63 </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微软雅黑" w:eastAsia="微软雅黑" w:hAnsi="微软雅黑" w:cs="微软雅黑"/>
                <w:sz w:val="18"/>
                <w:szCs w:val="18"/>
              </w:rPr>
            </w:pPr>
            <w:r>
              <w:rPr>
                <w:rFonts w:ascii="微软雅黑" w:eastAsia="微软雅黑" w:hAnsi="微软雅黑" w:cs="微软雅黑" w:hint="eastAsia"/>
                <w:kern w:val="0"/>
                <w:sz w:val="18"/>
                <w:szCs w:val="18"/>
              </w:rPr>
              <w:t xml:space="preserve">2.09 </w:t>
            </w:r>
          </w:p>
        </w:tc>
      </w:tr>
    </w:tbl>
    <w:p w:rsidR="00EF0589" w:rsidRDefault="00C22DD3">
      <w:pPr>
        <w:widowControl/>
        <w:ind w:firstLineChars="200" w:firstLine="560"/>
        <w:jc w:val="left"/>
        <w:rPr>
          <w:rFonts w:ascii="宋体" w:hAnsi="宋体" w:cs="宋体"/>
          <w:kern w:val="0"/>
          <w:sz w:val="28"/>
          <w:szCs w:val="28"/>
        </w:rPr>
      </w:pPr>
      <w:r>
        <w:rPr>
          <w:rFonts w:ascii="宋体" w:hAnsi="宋体" w:cs="宋体" w:hint="eastAsia"/>
          <w:kern w:val="0"/>
          <w:sz w:val="28"/>
          <w:szCs w:val="28"/>
        </w:rPr>
        <w:t>2018年大同市城镇零售商品总额597亿元，同比增长8.2%，2019年上半年（官方暂无全年数字）城镇零售商品总额279.5亿元，同比增长8.4%。（此表以2018年城镇零售商品总额为基数测算，测算期5年，</w:t>
      </w:r>
      <w:r>
        <w:rPr>
          <w:rFonts w:ascii="宋体" w:hAnsi="宋体" w:cs="宋体" w:hint="eastAsia"/>
          <w:sz w:val="28"/>
        </w:rPr>
        <w:t>五年经营利润总和为：6.19亿元，以后逐年递增</w:t>
      </w:r>
      <w:r>
        <w:rPr>
          <w:rFonts w:ascii="宋体" w:hAnsi="宋体" w:cs="宋体" w:hint="eastAsia"/>
          <w:kern w:val="0"/>
          <w:sz w:val="28"/>
          <w:szCs w:val="28"/>
        </w:rPr>
        <w:t>）</w:t>
      </w:r>
    </w:p>
    <w:p w:rsidR="00EF0589" w:rsidRDefault="00C22DD3">
      <w:pPr>
        <w:outlineLvl w:val="0"/>
        <w:rPr>
          <w:rFonts w:eastAsia="仿宋" w:cs="Calibri"/>
          <w:b/>
          <w:bCs/>
          <w:kern w:val="0"/>
          <w:sz w:val="28"/>
          <w:szCs w:val="28"/>
        </w:rPr>
      </w:pPr>
      <w:bookmarkStart w:id="6" w:name="_Toc20241"/>
      <w:bookmarkStart w:id="7" w:name="_Toc3253"/>
      <w:bookmarkStart w:id="8" w:name="_Toc22701"/>
      <w:bookmarkStart w:id="9" w:name="_Toc6471"/>
      <w:bookmarkStart w:id="10" w:name="_Toc9278"/>
      <w:bookmarkStart w:id="11" w:name="_Toc19643"/>
      <w:bookmarkStart w:id="12" w:name="_Toc20973"/>
      <w:bookmarkStart w:id="13" w:name="_Toc25932"/>
      <w:r>
        <w:rPr>
          <w:rFonts w:eastAsia="仿宋" w:cs="Calibri"/>
          <w:b/>
          <w:bCs/>
          <w:kern w:val="0"/>
          <w:sz w:val="28"/>
          <w:szCs w:val="28"/>
        </w:rPr>
        <w:t>②</w:t>
      </w:r>
      <w:r>
        <w:rPr>
          <w:rFonts w:eastAsia="仿宋" w:cs="Calibri"/>
          <w:b/>
          <w:bCs/>
          <w:kern w:val="0"/>
          <w:sz w:val="28"/>
          <w:szCs w:val="28"/>
        </w:rPr>
        <w:t>写字楼经营测算</w:t>
      </w:r>
    </w:p>
    <w:tbl>
      <w:tblPr>
        <w:tblpPr w:leftFromText="180" w:rightFromText="180" w:vertAnchor="text" w:horzAnchor="page" w:tblpX="1637" w:tblpY="621"/>
        <w:tblOverlap w:val="never"/>
        <w:tblW w:w="9777" w:type="dxa"/>
        <w:tblLayout w:type="fixed"/>
        <w:tblCellMar>
          <w:left w:w="0" w:type="dxa"/>
          <w:right w:w="0" w:type="dxa"/>
        </w:tblCellMar>
        <w:tblLook w:val="04A0" w:firstRow="1" w:lastRow="0" w:firstColumn="1" w:lastColumn="0" w:noHBand="0" w:noVBand="1"/>
      </w:tblPr>
      <w:tblGrid>
        <w:gridCol w:w="777"/>
        <w:gridCol w:w="1209"/>
        <w:gridCol w:w="845"/>
        <w:gridCol w:w="2100"/>
        <w:gridCol w:w="718"/>
        <w:gridCol w:w="682"/>
        <w:gridCol w:w="809"/>
        <w:gridCol w:w="628"/>
        <w:gridCol w:w="763"/>
        <w:gridCol w:w="1246"/>
      </w:tblGrid>
      <w:tr w:rsidR="00EF0589">
        <w:trPr>
          <w:trHeight w:val="56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序号</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项目</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租金增长</w:t>
            </w: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平米</w:t>
            </w: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第一年</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第二年</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第三年</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第四年</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第五年</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第六年</w:t>
            </w:r>
          </w:p>
        </w:tc>
      </w:tr>
      <w:tr w:rsidR="00EF0589">
        <w:trPr>
          <w:trHeight w:val="80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租赁收入</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每三年增长5%</w:t>
            </w: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3.9米/层/9708平米/3元</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br/>
              <w:t>6米/层/8093平米/3.5元</w:t>
            </w: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1258</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1782</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1992</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2201</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2201</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2201</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出租率</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60%</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85%</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95%</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95%</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95%</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95%</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运营成本</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314.5</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445.5</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498</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550</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550</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550</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3.1</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员工薪酬</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94.3</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133.6</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149.4</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3.2</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管理费用</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22</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31.2</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34.8</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38.5</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38.5</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38.5</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3.3</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营销费用</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6.3</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8.9</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10</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3.4</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开办费分摊</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6.3</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8.9</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10</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3.5</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不可预见费用</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9.4</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13.5</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14.9</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w:t>
            </w:r>
          </w:p>
        </w:tc>
      </w:tr>
      <w:tr w:rsidR="00EF0589">
        <w:trPr>
          <w:trHeight w:val="56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3.6</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公共设施能源费</w:t>
            </w:r>
            <w:r>
              <w:rPr>
                <w:rFonts w:ascii="等线" w:eastAsia="等线" w:hAnsi="等线" w:cs="等线" w:hint="eastAsia"/>
                <w:color w:val="000000"/>
                <w:kern w:val="0"/>
                <w:sz w:val="18"/>
                <w:szCs w:val="18"/>
              </w:rPr>
              <w:br/>
              <w:t>（不含空调费）</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63</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89</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99.6</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110</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110</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110</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3.7</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空调能源费</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66</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93.6</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104.6</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115.5</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115.5</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115.5</w:t>
            </w:r>
          </w:p>
        </w:tc>
      </w:tr>
      <w:tr w:rsidR="00EF0589">
        <w:trPr>
          <w:trHeight w:val="84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3.8</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公共设施</w:t>
            </w:r>
            <w:r>
              <w:rPr>
                <w:rFonts w:ascii="等线" w:eastAsia="等线" w:hAnsi="等线" w:cs="等线" w:hint="eastAsia"/>
                <w:color w:val="000000"/>
                <w:kern w:val="0"/>
                <w:sz w:val="18"/>
                <w:szCs w:val="18"/>
              </w:rPr>
              <w:br/>
              <w:t>维修保养</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31.4</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44.6</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49.8</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55</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55</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55</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3.9</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税金</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15.8</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22.2</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24.9</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27.5</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27.5</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27.5</w:t>
            </w:r>
          </w:p>
        </w:tc>
      </w:tr>
      <w:tr w:rsidR="00EF0589">
        <w:trPr>
          <w:trHeight w:val="280"/>
        </w:trPr>
        <w:tc>
          <w:tcPr>
            <w:tcW w:w="77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4</w:t>
            </w:r>
          </w:p>
        </w:tc>
        <w:tc>
          <w:tcPr>
            <w:tcW w:w="12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利润</w:t>
            </w:r>
          </w:p>
        </w:tc>
        <w:tc>
          <w:tcPr>
            <w:tcW w:w="8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2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EF0589">
            <w:pPr>
              <w:jc w:val="center"/>
              <w:rPr>
                <w:rFonts w:ascii="等线" w:eastAsia="等线" w:hAnsi="等线" w:cs="等线"/>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943.5</w:t>
            </w:r>
          </w:p>
        </w:tc>
        <w:tc>
          <w:tcPr>
            <w:tcW w:w="6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1336.5</w:t>
            </w:r>
          </w:p>
        </w:tc>
        <w:tc>
          <w:tcPr>
            <w:tcW w:w="80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1494</w:t>
            </w:r>
          </w:p>
        </w:tc>
        <w:tc>
          <w:tcPr>
            <w:tcW w:w="62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1651</w:t>
            </w:r>
          </w:p>
        </w:tc>
        <w:tc>
          <w:tcPr>
            <w:tcW w:w="76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1651</w:t>
            </w:r>
          </w:p>
        </w:tc>
        <w:tc>
          <w:tcPr>
            <w:tcW w:w="12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1651</w:t>
            </w:r>
          </w:p>
        </w:tc>
      </w:tr>
    </w:tbl>
    <w:p w:rsidR="00EF0589" w:rsidRDefault="00C22DD3">
      <w:pPr>
        <w:ind w:firstLineChars="200" w:firstLine="560"/>
        <w:outlineLvl w:val="0"/>
        <w:rPr>
          <w:rFonts w:eastAsia="仿宋" w:cs="Calibri"/>
          <w:kern w:val="0"/>
          <w:sz w:val="28"/>
          <w:szCs w:val="28"/>
        </w:rPr>
      </w:pPr>
      <w:r>
        <w:rPr>
          <w:rFonts w:eastAsia="仿宋" w:cs="Calibri"/>
          <w:kern w:val="0"/>
          <w:sz w:val="28"/>
          <w:szCs w:val="28"/>
        </w:rPr>
        <w:t>按每三年增长</w:t>
      </w:r>
      <w:r>
        <w:rPr>
          <w:rFonts w:eastAsia="仿宋" w:cs="Calibri"/>
          <w:kern w:val="0"/>
          <w:sz w:val="28"/>
          <w:szCs w:val="28"/>
        </w:rPr>
        <w:t>5%</w:t>
      </w:r>
      <w:r>
        <w:rPr>
          <w:rFonts w:eastAsia="仿宋" w:cs="Calibri"/>
          <w:kern w:val="0"/>
          <w:sz w:val="28"/>
          <w:szCs w:val="28"/>
        </w:rPr>
        <w:t>估算，前六年收入测算</w:t>
      </w:r>
      <w:r>
        <w:rPr>
          <w:rFonts w:eastAsia="仿宋" w:cs="Calibri"/>
          <w:kern w:val="0"/>
          <w:sz w:val="28"/>
          <w:szCs w:val="28"/>
        </w:rPr>
        <w:t>8727</w:t>
      </w:r>
      <w:r>
        <w:rPr>
          <w:rFonts w:eastAsia="仿宋" w:cs="Calibri"/>
          <w:kern w:val="0"/>
          <w:sz w:val="28"/>
          <w:szCs w:val="28"/>
        </w:rPr>
        <w:t>万元，预计</w:t>
      </w:r>
      <w:r>
        <w:rPr>
          <w:rFonts w:eastAsia="仿宋" w:cs="Calibri"/>
          <w:kern w:val="0"/>
          <w:sz w:val="28"/>
          <w:szCs w:val="28"/>
        </w:rPr>
        <w:t>12</w:t>
      </w:r>
      <w:r>
        <w:rPr>
          <w:rFonts w:eastAsia="仿宋" w:cs="Calibri"/>
          <w:kern w:val="0"/>
          <w:sz w:val="28"/>
          <w:szCs w:val="28"/>
        </w:rPr>
        <w:t>年可回成本</w:t>
      </w:r>
      <w:r>
        <w:rPr>
          <w:rFonts w:eastAsia="仿宋" w:cs="Calibri" w:hint="eastAsia"/>
          <w:kern w:val="0"/>
          <w:sz w:val="28"/>
          <w:szCs w:val="28"/>
        </w:rPr>
        <w:t>。</w:t>
      </w:r>
    </w:p>
    <w:p w:rsidR="00EF0589" w:rsidRDefault="00C22DD3">
      <w:pPr>
        <w:outlineLvl w:val="0"/>
        <w:rPr>
          <w:rFonts w:ascii="仿宋" w:eastAsia="仿宋" w:hAnsi="仿宋"/>
          <w:b/>
          <w:bCs/>
          <w:kern w:val="0"/>
          <w:sz w:val="28"/>
          <w:szCs w:val="28"/>
        </w:rPr>
      </w:pPr>
      <w:r>
        <w:rPr>
          <w:rFonts w:eastAsia="仿宋" w:cs="Calibri"/>
          <w:b/>
          <w:bCs/>
          <w:kern w:val="0"/>
          <w:sz w:val="28"/>
          <w:szCs w:val="28"/>
        </w:rPr>
        <w:t>③</w:t>
      </w:r>
      <w:bookmarkEnd w:id="6"/>
      <w:bookmarkEnd w:id="7"/>
      <w:bookmarkEnd w:id="8"/>
      <w:bookmarkEnd w:id="9"/>
      <w:bookmarkEnd w:id="10"/>
      <w:bookmarkEnd w:id="11"/>
      <w:bookmarkEnd w:id="12"/>
      <w:bookmarkEnd w:id="13"/>
      <w:r>
        <w:rPr>
          <w:rFonts w:ascii="仿宋" w:eastAsia="仿宋" w:hAnsi="仿宋" w:hint="eastAsia"/>
          <w:b/>
          <w:bCs/>
          <w:kern w:val="0"/>
          <w:sz w:val="28"/>
          <w:szCs w:val="28"/>
        </w:rPr>
        <w:t>酒店经营测算</w:t>
      </w:r>
    </w:p>
    <w:tbl>
      <w:tblPr>
        <w:tblpPr w:leftFromText="180" w:rightFromText="180" w:vertAnchor="text" w:horzAnchor="page" w:tblpX="497" w:tblpY="637"/>
        <w:tblOverlap w:val="never"/>
        <w:tblW w:w="11350" w:type="dxa"/>
        <w:tblCellMar>
          <w:left w:w="0" w:type="dxa"/>
          <w:right w:w="0" w:type="dxa"/>
        </w:tblCellMar>
        <w:tblLook w:val="04A0" w:firstRow="1" w:lastRow="0" w:firstColumn="1" w:lastColumn="0" w:noHBand="0" w:noVBand="1"/>
      </w:tblPr>
      <w:tblGrid>
        <w:gridCol w:w="1100"/>
        <w:gridCol w:w="1150"/>
        <w:gridCol w:w="1040"/>
        <w:gridCol w:w="960"/>
        <w:gridCol w:w="899"/>
        <w:gridCol w:w="940"/>
        <w:gridCol w:w="1110"/>
        <w:gridCol w:w="960"/>
        <w:gridCol w:w="1060"/>
        <w:gridCol w:w="1060"/>
        <w:gridCol w:w="1130"/>
      </w:tblGrid>
      <w:tr w:rsidR="00EF0589">
        <w:trPr>
          <w:trHeight w:val="280"/>
        </w:trPr>
        <w:tc>
          <w:tcPr>
            <w:tcW w:w="11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年度</w:t>
            </w:r>
          </w:p>
        </w:tc>
        <w:tc>
          <w:tcPr>
            <w:tcW w:w="11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第一年</w:t>
            </w:r>
          </w:p>
        </w:tc>
        <w:tc>
          <w:tcPr>
            <w:tcW w:w="10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第二年</w:t>
            </w:r>
          </w:p>
        </w:tc>
        <w:tc>
          <w:tcPr>
            <w:tcW w:w="9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第三年</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第四年</w:t>
            </w:r>
          </w:p>
        </w:tc>
        <w:tc>
          <w:tcPr>
            <w:tcW w:w="9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第五年</w:t>
            </w:r>
          </w:p>
        </w:tc>
        <w:tc>
          <w:tcPr>
            <w:tcW w:w="111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第六年</w:t>
            </w:r>
          </w:p>
        </w:tc>
        <w:tc>
          <w:tcPr>
            <w:tcW w:w="9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第七年</w:t>
            </w:r>
          </w:p>
        </w:tc>
        <w:tc>
          <w:tcPr>
            <w:tcW w:w="10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第八年</w:t>
            </w:r>
          </w:p>
        </w:tc>
        <w:tc>
          <w:tcPr>
            <w:tcW w:w="10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第九年</w:t>
            </w:r>
          </w:p>
        </w:tc>
        <w:tc>
          <w:tcPr>
            <w:tcW w:w="113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left"/>
              <w:textAlignment w:val="bottom"/>
              <w:rPr>
                <w:rFonts w:ascii="等线" w:eastAsia="等线" w:hAnsi="等线" w:cs="等线"/>
                <w:color w:val="000000"/>
                <w:sz w:val="18"/>
                <w:szCs w:val="18"/>
              </w:rPr>
            </w:pPr>
            <w:r>
              <w:rPr>
                <w:rFonts w:ascii="等线" w:eastAsia="等线" w:hAnsi="等线" w:cs="等线" w:hint="eastAsia"/>
                <w:color w:val="000000"/>
                <w:kern w:val="0"/>
                <w:sz w:val="18"/>
                <w:szCs w:val="18"/>
              </w:rPr>
              <w:t>第十年</w:t>
            </w:r>
          </w:p>
        </w:tc>
      </w:tr>
      <w:tr w:rsidR="00EF0589">
        <w:trPr>
          <w:trHeight w:val="280"/>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酒店总收入</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50123326.1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65243707.55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74410983.15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93608552.45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111313469.4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130329700.4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159905846.1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207680879.4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247088506.3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310788506.3</w:t>
            </w:r>
          </w:p>
        </w:tc>
      </w:tr>
      <w:tr w:rsidR="00EF0589">
        <w:trPr>
          <w:trHeight w:val="280"/>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酒店部门成本</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18194767.35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25840171.59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26543844.1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34635164.41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36733444.9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40662866.52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42890623.95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67035562.28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63959753.85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83072034.67</w:t>
            </w:r>
          </w:p>
        </w:tc>
      </w:tr>
      <w:tr w:rsidR="00EF0589">
        <w:trPr>
          <w:trHeight w:val="280"/>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酒店其他费用</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16536997.8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19820675.03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23635075.24</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30594045.19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34729801.33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36828250.6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40131659.65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43304263.82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46068773.88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48206013.96</w:t>
            </w:r>
          </w:p>
        </w:tc>
      </w:tr>
      <w:tr w:rsidR="00EF0589">
        <w:trPr>
          <w:trHeight w:val="280"/>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酒店间接费用</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15469851.03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15878392.09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16319141.49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16513677.13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16526216.08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16616703.01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16633987.38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16717238.88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16727346.41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16810467.19</w:t>
            </w:r>
          </w:p>
        </w:tc>
      </w:tr>
      <w:tr w:rsidR="00EF0589">
        <w:trPr>
          <w:trHeight w:val="280"/>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酒店各项税费</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2756782.93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3914622.42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4642604.7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5148470.36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6122240.79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7167033.11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8794821.53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11422448.37</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13589687.83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11593367.85</w:t>
            </w:r>
          </w:p>
        </w:tc>
      </w:tr>
      <w:tr w:rsidR="00EF0589">
        <w:trPr>
          <w:trHeight w:val="280"/>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酒店税前利润</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-2835073.01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-210153.58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3270317.62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6717195.36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17201766.3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29054847.19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51454753.6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69201366.06</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106742944.3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151106622.6</w:t>
            </w:r>
          </w:p>
        </w:tc>
      </w:tr>
      <w:tr w:rsidR="00EF0589">
        <w:trPr>
          <w:trHeight w:val="280"/>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酒店税后利润</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-2835073.01</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-210153.58</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2452738.22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5037896.52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12901324.73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21791135.39</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38591065.2</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51901024.55</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80057208.23</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EF0589" w:rsidRDefault="00C22DD3">
            <w:pPr>
              <w:widowControl/>
              <w:jc w:val="center"/>
              <w:textAlignment w:val="bottom"/>
              <w:rPr>
                <w:rFonts w:ascii="等线" w:eastAsia="等线" w:hAnsi="等线" w:cs="等线"/>
                <w:color w:val="000000"/>
                <w:sz w:val="16"/>
                <w:szCs w:val="16"/>
              </w:rPr>
            </w:pPr>
            <w:r>
              <w:rPr>
                <w:rFonts w:ascii="等线" w:eastAsia="等线" w:hAnsi="等线" w:cs="等线" w:hint="eastAsia"/>
                <w:color w:val="000000"/>
                <w:kern w:val="0"/>
                <w:sz w:val="16"/>
                <w:szCs w:val="16"/>
              </w:rPr>
              <w:t>113329967</w:t>
            </w:r>
          </w:p>
        </w:tc>
      </w:tr>
    </w:tbl>
    <w:p w:rsidR="00EF0589" w:rsidRDefault="00EF0589">
      <w:pPr>
        <w:outlineLvl w:val="0"/>
        <w:rPr>
          <w:rFonts w:ascii="仿宋" w:eastAsia="仿宋" w:hAnsi="仿宋"/>
          <w:b/>
          <w:bCs/>
          <w:kern w:val="0"/>
          <w:sz w:val="28"/>
          <w:szCs w:val="28"/>
        </w:rPr>
      </w:pPr>
    </w:p>
    <w:p w:rsidR="00EF0589" w:rsidRDefault="00C22DD3">
      <w:pPr>
        <w:outlineLvl w:val="0"/>
        <w:rPr>
          <w:rFonts w:ascii="仿宋" w:eastAsia="仿宋" w:hAnsi="仿宋"/>
          <w:b/>
          <w:bCs/>
          <w:kern w:val="0"/>
          <w:sz w:val="28"/>
          <w:szCs w:val="28"/>
        </w:rPr>
      </w:pPr>
      <w:r>
        <w:rPr>
          <w:rFonts w:ascii="仿宋" w:eastAsia="仿宋" w:hAnsi="仿宋" w:hint="eastAsia"/>
          <w:kern w:val="0"/>
          <w:sz w:val="28"/>
          <w:szCs w:val="28"/>
        </w:rPr>
        <w:t>根据测算预计10年的净收益3.2亿，15年可收回成本。</w:t>
      </w:r>
    </w:p>
    <w:p w:rsidR="00EF0589" w:rsidRDefault="00C22DD3">
      <w:pPr>
        <w:outlineLvl w:val="0"/>
        <w:rPr>
          <w:rFonts w:ascii="仿宋" w:eastAsia="仿宋" w:hAnsi="仿宋" w:cs="仿宋"/>
          <w:b/>
          <w:bCs/>
          <w:kern w:val="0"/>
          <w:sz w:val="28"/>
          <w:szCs w:val="28"/>
        </w:rPr>
      </w:pPr>
      <w:r>
        <w:rPr>
          <w:rFonts w:ascii="仿宋" w:eastAsia="仿宋" w:hAnsi="仿宋" w:cs="仿宋" w:hint="eastAsia"/>
          <w:b/>
          <w:bCs/>
          <w:kern w:val="0"/>
          <w:sz w:val="28"/>
          <w:szCs w:val="28"/>
        </w:rPr>
        <w:t>④写字楼销售测算</w:t>
      </w:r>
    </w:p>
    <w:tbl>
      <w:tblPr>
        <w:tblW w:w="9482" w:type="dxa"/>
        <w:tblInd w:w="-173" w:type="dxa"/>
        <w:tblCellMar>
          <w:left w:w="0" w:type="dxa"/>
          <w:right w:w="0" w:type="dxa"/>
        </w:tblCellMar>
        <w:tblLook w:val="04A0" w:firstRow="1" w:lastRow="0" w:firstColumn="1" w:lastColumn="0" w:noHBand="0" w:noVBand="1"/>
      </w:tblPr>
      <w:tblGrid>
        <w:gridCol w:w="1841"/>
        <w:gridCol w:w="2114"/>
        <w:gridCol w:w="789"/>
        <w:gridCol w:w="1392"/>
        <w:gridCol w:w="3346"/>
      </w:tblGrid>
      <w:tr w:rsidR="00EF0589">
        <w:trPr>
          <w:trHeight w:val="652"/>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楼层</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销售面积（㎡）</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均价（元/㎡）</w:t>
            </w:r>
          </w:p>
        </w:tc>
        <w:tc>
          <w:tcPr>
            <w:tcW w:w="33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 总价（元）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1721.59</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8888</w:t>
            </w:r>
          </w:p>
        </w:tc>
        <w:tc>
          <w:tcPr>
            <w:tcW w:w="3346"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15,301,491.92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1721.59</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9888</w:t>
            </w:r>
          </w:p>
        </w:tc>
        <w:tc>
          <w:tcPr>
            <w:tcW w:w="3346"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17,023,081.92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1721.59</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10888</w:t>
            </w:r>
          </w:p>
        </w:tc>
        <w:tc>
          <w:tcPr>
            <w:tcW w:w="3346"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18,744,671.92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1721.59</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11988</w:t>
            </w:r>
          </w:p>
        </w:tc>
        <w:tc>
          <w:tcPr>
            <w:tcW w:w="3346"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20,638,420.92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1721.59</w:t>
            </w:r>
          </w:p>
        </w:tc>
        <w:tc>
          <w:tcPr>
            <w:tcW w:w="1392" w:type="dxa"/>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12988</w:t>
            </w:r>
          </w:p>
        </w:tc>
        <w:tc>
          <w:tcPr>
            <w:tcW w:w="33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22,360,010.92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1722.73</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16988</w:t>
            </w:r>
          </w:p>
        </w:tc>
        <w:tc>
          <w:tcPr>
            <w:tcW w:w="33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29,265,737.24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1722.73</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17988</w:t>
            </w:r>
          </w:p>
        </w:tc>
        <w:tc>
          <w:tcPr>
            <w:tcW w:w="33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30,988,467.24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1726.49</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18988</w:t>
            </w:r>
          </w:p>
        </w:tc>
        <w:tc>
          <w:tcPr>
            <w:tcW w:w="33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32,782,592.12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1722.73</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19988</w:t>
            </w:r>
          </w:p>
        </w:tc>
        <w:tc>
          <w:tcPr>
            <w:tcW w:w="33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34,433,927.24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1722.73</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20988</w:t>
            </w:r>
          </w:p>
        </w:tc>
        <w:tc>
          <w:tcPr>
            <w:tcW w:w="33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 36,156,657.24 </w:t>
            </w:r>
          </w:p>
        </w:tc>
      </w:tr>
      <w:tr w:rsidR="00EF0589">
        <w:trPr>
          <w:trHeight w:val="341"/>
        </w:trPr>
        <w:tc>
          <w:tcPr>
            <w:tcW w:w="184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合计</w:t>
            </w:r>
          </w:p>
        </w:tc>
        <w:tc>
          <w:tcPr>
            <w:tcW w:w="290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17225.36</w:t>
            </w:r>
          </w:p>
        </w:tc>
        <w:tc>
          <w:tcPr>
            <w:tcW w:w="13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EF0589">
            <w:pPr>
              <w:jc w:val="center"/>
              <w:rPr>
                <w:rFonts w:ascii="宋体" w:hAnsi="宋体" w:cs="宋体"/>
                <w:b/>
                <w:color w:val="000000"/>
                <w:sz w:val="18"/>
                <w:szCs w:val="18"/>
              </w:rPr>
            </w:pPr>
          </w:p>
        </w:tc>
        <w:tc>
          <w:tcPr>
            <w:tcW w:w="334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F0589" w:rsidRDefault="00C22DD3">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 xml:space="preserve"> 257,695,058.68 </w:t>
            </w:r>
          </w:p>
        </w:tc>
      </w:tr>
      <w:tr w:rsidR="00EF0589">
        <w:trPr>
          <w:trHeight w:val="600"/>
        </w:trPr>
        <w:tc>
          <w:tcPr>
            <w:tcW w:w="9482" w:type="dxa"/>
            <w:gridSpan w:val="5"/>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可销面积：18946.95</w:t>
            </w:r>
            <w:r>
              <w:rPr>
                <w:rFonts w:ascii="宋体" w:hAnsi="宋体" w:cs="宋体" w:hint="eastAsia"/>
                <w:color w:val="000000"/>
                <w:kern w:val="0"/>
                <w:sz w:val="18"/>
                <w:szCs w:val="18"/>
              </w:rPr>
              <w:t>㎡</w:t>
            </w:r>
            <w:r>
              <w:rPr>
                <w:rFonts w:ascii="宋体" w:hAnsi="宋体" w:cs="宋体" w:hint="eastAsia"/>
                <w:b/>
                <w:color w:val="000000"/>
                <w:kern w:val="0"/>
                <w:sz w:val="18"/>
                <w:szCs w:val="18"/>
              </w:rPr>
              <w:t>合计：257695058.68元</w:t>
            </w:r>
          </w:p>
        </w:tc>
      </w:tr>
      <w:tr w:rsidR="00EF0589">
        <w:trPr>
          <w:trHeight w:val="341"/>
        </w:trPr>
        <w:tc>
          <w:tcPr>
            <w:tcW w:w="1841" w:type="dxa"/>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销售周期</w:t>
            </w:r>
          </w:p>
        </w:tc>
        <w:tc>
          <w:tcPr>
            <w:tcW w:w="2114" w:type="dxa"/>
            <w:tcBorders>
              <w:top w:val="single" w:sz="8" w:space="0" w:color="000000"/>
              <w:left w:val="nil"/>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十二个月</w:t>
            </w:r>
          </w:p>
        </w:tc>
        <w:tc>
          <w:tcPr>
            <w:tcW w:w="5527" w:type="dxa"/>
            <w:gridSpan w:val="3"/>
            <w:tcBorders>
              <w:top w:val="single" w:sz="8" w:space="0" w:color="000000"/>
              <w:left w:val="nil"/>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去化量：257695058.68元</w:t>
            </w:r>
          </w:p>
        </w:tc>
      </w:tr>
      <w:tr w:rsidR="00EF0589">
        <w:trPr>
          <w:trHeight w:val="341"/>
        </w:trPr>
        <w:tc>
          <w:tcPr>
            <w:tcW w:w="1841" w:type="dxa"/>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蓄水</w:t>
            </w:r>
          </w:p>
        </w:tc>
        <w:tc>
          <w:tcPr>
            <w:tcW w:w="2114" w:type="dxa"/>
            <w:tcBorders>
              <w:top w:val="nil"/>
              <w:left w:val="nil"/>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四个月</w:t>
            </w:r>
          </w:p>
        </w:tc>
        <w:tc>
          <w:tcPr>
            <w:tcW w:w="5527" w:type="dxa"/>
            <w:gridSpan w:val="3"/>
            <w:tcBorders>
              <w:top w:val="nil"/>
              <w:left w:val="nil"/>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103078023.47 总量的40%</w:t>
            </w:r>
          </w:p>
        </w:tc>
      </w:tr>
      <w:tr w:rsidR="00EF0589">
        <w:trPr>
          <w:trHeight w:val="341"/>
        </w:trPr>
        <w:tc>
          <w:tcPr>
            <w:tcW w:w="1841" w:type="dxa"/>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强销</w:t>
            </w:r>
          </w:p>
        </w:tc>
        <w:tc>
          <w:tcPr>
            <w:tcW w:w="2114" w:type="dxa"/>
            <w:tcBorders>
              <w:top w:val="nil"/>
              <w:left w:val="nil"/>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六个月</w:t>
            </w:r>
          </w:p>
        </w:tc>
        <w:tc>
          <w:tcPr>
            <w:tcW w:w="5527" w:type="dxa"/>
            <w:gridSpan w:val="3"/>
            <w:tcBorders>
              <w:top w:val="nil"/>
              <w:left w:val="nil"/>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103078023.47  总量的40%</w:t>
            </w:r>
          </w:p>
        </w:tc>
      </w:tr>
      <w:tr w:rsidR="00EF0589">
        <w:trPr>
          <w:trHeight w:val="315"/>
        </w:trPr>
        <w:tc>
          <w:tcPr>
            <w:tcW w:w="1841" w:type="dxa"/>
            <w:tcBorders>
              <w:top w:val="nil"/>
              <w:left w:val="single" w:sz="8" w:space="0" w:color="000000"/>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清盘</w:t>
            </w:r>
          </w:p>
        </w:tc>
        <w:tc>
          <w:tcPr>
            <w:tcW w:w="2114" w:type="dxa"/>
            <w:tcBorders>
              <w:top w:val="nil"/>
              <w:left w:val="nil"/>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二个月</w:t>
            </w:r>
          </w:p>
        </w:tc>
        <w:tc>
          <w:tcPr>
            <w:tcW w:w="5527" w:type="dxa"/>
            <w:gridSpan w:val="3"/>
            <w:tcBorders>
              <w:top w:val="nil"/>
              <w:left w:val="nil"/>
              <w:bottom w:val="single" w:sz="8" w:space="0" w:color="000000"/>
              <w:right w:val="single" w:sz="8" w:space="0" w:color="000000"/>
            </w:tcBorders>
            <w:noWrap/>
            <w:tcMar>
              <w:top w:w="10" w:type="dxa"/>
              <w:left w:w="10" w:type="dxa"/>
              <w:right w:w="10" w:type="dxa"/>
            </w:tcMar>
            <w:vAlign w:val="center"/>
          </w:tcPr>
          <w:p w:rsidR="00EF0589" w:rsidRDefault="00C22D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51539011.74 总量的20%</w:t>
            </w:r>
          </w:p>
        </w:tc>
      </w:tr>
    </w:tbl>
    <w:p w:rsidR="00EF0589" w:rsidRDefault="00C22DD3">
      <w:pPr>
        <w:outlineLvl w:val="0"/>
        <w:rPr>
          <w:rFonts w:ascii="仿宋" w:eastAsia="仿宋" w:hAnsi="仿宋" w:cs="仿宋"/>
          <w:kern w:val="0"/>
          <w:sz w:val="28"/>
          <w:szCs w:val="28"/>
        </w:rPr>
      </w:pPr>
      <w:r>
        <w:rPr>
          <w:rFonts w:ascii="仿宋" w:eastAsia="仿宋" w:hAnsi="仿宋" w:cs="仿宋" w:hint="eastAsia"/>
          <w:kern w:val="0"/>
          <w:sz w:val="28"/>
          <w:szCs w:val="28"/>
        </w:rPr>
        <w:t>预计销售收入可达到2.57亿元。</w:t>
      </w:r>
    </w:p>
    <w:p w:rsidR="00EF0589" w:rsidRDefault="00C22DD3">
      <w:pPr>
        <w:outlineLvl w:val="0"/>
        <w:rPr>
          <w:rFonts w:ascii="仿宋" w:eastAsia="仿宋" w:hAnsi="仿宋" w:cs="仿宋"/>
          <w:b/>
          <w:bCs/>
          <w:kern w:val="0"/>
          <w:sz w:val="28"/>
          <w:szCs w:val="28"/>
        </w:rPr>
      </w:pPr>
      <w:r>
        <w:rPr>
          <w:rFonts w:ascii="仿宋" w:eastAsia="仿宋" w:hAnsi="仿宋" w:cs="仿宋" w:hint="eastAsia"/>
          <w:b/>
          <w:bCs/>
          <w:kern w:val="0"/>
          <w:sz w:val="28"/>
          <w:szCs w:val="28"/>
        </w:rPr>
        <w:t>⑤其他收入</w:t>
      </w:r>
    </w:p>
    <w:tbl>
      <w:tblPr>
        <w:tblStyle w:val="a3"/>
        <w:tblpPr w:leftFromText="180" w:rightFromText="180" w:vertAnchor="text" w:horzAnchor="page" w:tblpX="1740" w:tblpY="344"/>
        <w:tblOverlap w:val="never"/>
        <w:tblW w:w="9446" w:type="dxa"/>
        <w:tblLayout w:type="fixed"/>
        <w:tblLook w:val="04A0" w:firstRow="1" w:lastRow="0" w:firstColumn="1" w:lastColumn="0" w:noHBand="0" w:noVBand="1"/>
      </w:tblPr>
      <w:tblGrid>
        <w:gridCol w:w="1009"/>
        <w:gridCol w:w="2573"/>
        <w:gridCol w:w="3040"/>
        <w:gridCol w:w="2824"/>
      </w:tblGrid>
      <w:tr w:rsidR="00EF0589">
        <w:trPr>
          <w:trHeight w:val="316"/>
        </w:trPr>
        <w:tc>
          <w:tcPr>
            <w:tcW w:w="1009" w:type="dxa"/>
            <w:vMerge w:val="restart"/>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停车位</w:t>
            </w:r>
            <w:r>
              <w:rPr>
                <w:rFonts w:ascii="微软雅黑" w:hAnsi="微软雅黑" w:cs="宋体" w:hint="eastAsia"/>
                <w:sz w:val="18"/>
                <w:szCs w:val="18"/>
              </w:rPr>
              <w:br/>
              <w:t>248</w:t>
            </w:r>
            <w:r>
              <w:rPr>
                <w:rFonts w:ascii="微软雅黑" w:hAnsi="微软雅黑" w:cs="宋体" w:hint="eastAsia"/>
                <w:sz w:val="18"/>
                <w:szCs w:val="18"/>
              </w:rPr>
              <w:t>个</w:t>
            </w:r>
          </w:p>
        </w:tc>
        <w:tc>
          <w:tcPr>
            <w:tcW w:w="2573"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销售数量：</w:t>
            </w:r>
            <w:r>
              <w:rPr>
                <w:rFonts w:ascii="微软雅黑" w:hAnsi="微软雅黑" w:cs="宋体" w:hint="eastAsia"/>
                <w:sz w:val="18"/>
                <w:szCs w:val="18"/>
              </w:rPr>
              <w:t>60</w:t>
            </w:r>
            <w:r>
              <w:rPr>
                <w:rFonts w:ascii="微软雅黑" w:hAnsi="微软雅黑" w:cs="宋体" w:hint="eastAsia"/>
                <w:sz w:val="18"/>
                <w:szCs w:val="18"/>
              </w:rPr>
              <w:t>个</w:t>
            </w:r>
          </w:p>
        </w:tc>
        <w:tc>
          <w:tcPr>
            <w:tcW w:w="3040"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均价：</w:t>
            </w:r>
            <w:r>
              <w:rPr>
                <w:rFonts w:ascii="微软雅黑" w:hAnsi="微软雅黑" w:cs="宋体" w:hint="eastAsia"/>
                <w:sz w:val="18"/>
                <w:szCs w:val="18"/>
              </w:rPr>
              <w:t>15</w:t>
            </w:r>
            <w:r>
              <w:rPr>
                <w:rFonts w:ascii="微软雅黑" w:hAnsi="微软雅黑" w:cs="宋体" w:hint="eastAsia"/>
                <w:sz w:val="18"/>
                <w:szCs w:val="18"/>
              </w:rPr>
              <w:t>万元</w:t>
            </w:r>
            <w:r>
              <w:rPr>
                <w:rFonts w:ascii="微软雅黑" w:hAnsi="微软雅黑" w:cs="宋体" w:hint="eastAsia"/>
                <w:sz w:val="18"/>
                <w:szCs w:val="18"/>
              </w:rPr>
              <w:t>/</w:t>
            </w:r>
            <w:r>
              <w:rPr>
                <w:rFonts w:ascii="微软雅黑" w:hAnsi="微软雅黑" w:cs="宋体" w:hint="eastAsia"/>
                <w:sz w:val="18"/>
                <w:szCs w:val="18"/>
              </w:rPr>
              <w:t>个</w:t>
            </w:r>
          </w:p>
        </w:tc>
        <w:tc>
          <w:tcPr>
            <w:tcW w:w="2824"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总价：</w:t>
            </w:r>
            <w:r>
              <w:rPr>
                <w:rFonts w:ascii="微软雅黑" w:hAnsi="微软雅黑" w:cs="宋体" w:hint="eastAsia"/>
                <w:sz w:val="18"/>
                <w:szCs w:val="18"/>
              </w:rPr>
              <w:t>9000000</w:t>
            </w:r>
            <w:r>
              <w:rPr>
                <w:rFonts w:ascii="微软雅黑" w:hAnsi="微软雅黑" w:cs="宋体" w:hint="eastAsia"/>
                <w:sz w:val="18"/>
                <w:szCs w:val="18"/>
              </w:rPr>
              <w:t>元</w:t>
            </w:r>
          </w:p>
        </w:tc>
      </w:tr>
      <w:tr w:rsidR="00EF0589">
        <w:trPr>
          <w:trHeight w:val="316"/>
        </w:trPr>
        <w:tc>
          <w:tcPr>
            <w:tcW w:w="1009" w:type="dxa"/>
            <w:vMerge/>
            <w:noWrap/>
            <w:vAlign w:val="center"/>
          </w:tcPr>
          <w:p w:rsidR="00EF0589" w:rsidRDefault="00EF0589">
            <w:pPr>
              <w:jc w:val="left"/>
              <w:rPr>
                <w:rFonts w:ascii="微软雅黑" w:hAnsi="微软雅黑" w:cs="宋体"/>
                <w:sz w:val="18"/>
                <w:szCs w:val="18"/>
              </w:rPr>
            </w:pPr>
          </w:p>
        </w:tc>
        <w:tc>
          <w:tcPr>
            <w:tcW w:w="2573"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固定租赁数量：</w:t>
            </w:r>
            <w:r>
              <w:rPr>
                <w:rFonts w:ascii="微软雅黑" w:hAnsi="微软雅黑" w:cs="宋体" w:hint="eastAsia"/>
                <w:sz w:val="18"/>
                <w:szCs w:val="18"/>
              </w:rPr>
              <w:t>80</w:t>
            </w:r>
            <w:r>
              <w:rPr>
                <w:rFonts w:ascii="微软雅黑" w:hAnsi="微软雅黑" w:cs="宋体" w:hint="eastAsia"/>
                <w:sz w:val="18"/>
                <w:szCs w:val="18"/>
              </w:rPr>
              <w:t>个</w:t>
            </w:r>
          </w:p>
        </w:tc>
        <w:tc>
          <w:tcPr>
            <w:tcW w:w="3040"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租金：</w:t>
            </w:r>
            <w:r>
              <w:rPr>
                <w:rFonts w:ascii="微软雅黑" w:hAnsi="微软雅黑" w:cs="宋体" w:hint="eastAsia"/>
                <w:sz w:val="18"/>
                <w:szCs w:val="18"/>
              </w:rPr>
              <w:t>600</w:t>
            </w:r>
            <w:r>
              <w:rPr>
                <w:rFonts w:ascii="微软雅黑" w:hAnsi="微软雅黑" w:cs="宋体" w:hint="eastAsia"/>
                <w:sz w:val="18"/>
                <w:szCs w:val="18"/>
              </w:rPr>
              <w:t>元</w:t>
            </w:r>
            <w:r>
              <w:rPr>
                <w:rFonts w:ascii="微软雅黑" w:hAnsi="微软雅黑" w:cs="宋体" w:hint="eastAsia"/>
                <w:sz w:val="18"/>
                <w:szCs w:val="18"/>
              </w:rPr>
              <w:t>/</w:t>
            </w:r>
            <w:r>
              <w:rPr>
                <w:rFonts w:ascii="微软雅黑" w:hAnsi="微软雅黑" w:cs="宋体" w:hint="eastAsia"/>
                <w:sz w:val="18"/>
                <w:szCs w:val="18"/>
              </w:rPr>
              <w:t>月</w:t>
            </w:r>
          </w:p>
        </w:tc>
        <w:tc>
          <w:tcPr>
            <w:tcW w:w="2824"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合计：</w:t>
            </w:r>
            <w:r>
              <w:rPr>
                <w:rFonts w:ascii="微软雅黑" w:hAnsi="微软雅黑" w:cs="宋体" w:hint="eastAsia"/>
                <w:sz w:val="18"/>
                <w:szCs w:val="18"/>
              </w:rPr>
              <w:t>576000</w:t>
            </w:r>
            <w:r>
              <w:rPr>
                <w:rFonts w:ascii="微软雅黑" w:hAnsi="微软雅黑" w:cs="宋体" w:hint="eastAsia"/>
                <w:sz w:val="18"/>
                <w:szCs w:val="18"/>
              </w:rPr>
              <w:t>元</w:t>
            </w:r>
          </w:p>
        </w:tc>
      </w:tr>
      <w:tr w:rsidR="00EF0589">
        <w:trPr>
          <w:trHeight w:val="316"/>
        </w:trPr>
        <w:tc>
          <w:tcPr>
            <w:tcW w:w="1009" w:type="dxa"/>
            <w:vMerge/>
            <w:noWrap/>
            <w:vAlign w:val="center"/>
          </w:tcPr>
          <w:p w:rsidR="00EF0589" w:rsidRDefault="00EF0589">
            <w:pPr>
              <w:jc w:val="left"/>
              <w:rPr>
                <w:rFonts w:ascii="微软雅黑" w:hAnsi="微软雅黑" w:cs="宋体"/>
                <w:sz w:val="18"/>
                <w:szCs w:val="18"/>
              </w:rPr>
            </w:pPr>
          </w:p>
        </w:tc>
        <w:tc>
          <w:tcPr>
            <w:tcW w:w="2573"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流动租赁数量：</w:t>
            </w:r>
            <w:r>
              <w:rPr>
                <w:rFonts w:ascii="微软雅黑" w:hAnsi="微软雅黑" w:cs="宋体" w:hint="eastAsia"/>
                <w:sz w:val="18"/>
                <w:szCs w:val="18"/>
              </w:rPr>
              <w:t>108</w:t>
            </w:r>
            <w:r>
              <w:rPr>
                <w:rFonts w:ascii="微软雅黑" w:hAnsi="微软雅黑" w:cs="宋体" w:hint="eastAsia"/>
                <w:sz w:val="18"/>
                <w:szCs w:val="18"/>
              </w:rPr>
              <w:t>个</w:t>
            </w:r>
          </w:p>
        </w:tc>
        <w:tc>
          <w:tcPr>
            <w:tcW w:w="3040"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租金：</w:t>
            </w:r>
            <w:r>
              <w:rPr>
                <w:rFonts w:ascii="微软雅黑" w:hAnsi="微软雅黑" w:cs="宋体" w:hint="eastAsia"/>
                <w:sz w:val="18"/>
                <w:szCs w:val="18"/>
              </w:rPr>
              <w:t>2</w:t>
            </w:r>
            <w:r>
              <w:rPr>
                <w:rFonts w:ascii="微软雅黑" w:hAnsi="微软雅黑" w:cs="宋体" w:hint="eastAsia"/>
                <w:sz w:val="18"/>
                <w:szCs w:val="18"/>
              </w:rPr>
              <w:t>元</w:t>
            </w:r>
            <w:r>
              <w:rPr>
                <w:rFonts w:ascii="微软雅黑" w:hAnsi="微软雅黑" w:cs="宋体" w:hint="eastAsia"/>
                <w:sz w:val="18"/>
                <w:szCs w:val="18"/>
              </w:rPr>
              <w:t>/</w:t>
            </w:r>
            <w:r>
              <w:rPr>
                <w:rFonts w:ascii="微软雅黑" w:hAnsi="微软雅黑" w:cs="宋体" w:hint="eastAsia"/>
                <w:sz w:val="18"/>
                <w:szCs w:val="18"/>
              </w:rPr>
              <w:t>小时（</w:t>
            </w:r>
            <w:r>
              <w:rPr>
                <w:rFonts w:ascii="微软雅黑" w:hAnsi="微软雅黑" w:cs="宋体" w:hint="eastAsia"/>
                <w:sz w:val="18"/>
                <w:szCs w:val="18"/>
              </w:rPr>
              <w:t>12</w:t>
            </w:r>
            <w:r>
              <w:rPr>
                <w:rFonts w:ascii="微软雅黑" w:hAnsi="微软雅黑" w:cs="宋体" w:hint="eastAsia"/>
                <w:sz w:val="18"/>
                <w:szCs w:val="18"/>
              </w:rPr>
              <w:t>小时）</w:t>
            </w:r>
          </w:p>
        </w:tc>
        <w:tc>
          <w:tcPr>
            <w:tcW w:w="2824"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合计：</w:t>
            </w:r>
            <w:r>
              <w:rPr>
                <w:rFonts w:ascii="微软雅黑" w:hAnsi="微软雅黑" w:cs="宋体" w:hint="eastAsia"/>
                <w:sz w:val="18"/>
                <w:szCs w:val="18"/>
              </w:rPr>
              <w:t>946080</w:t>
            </w:r>
            <w:r>
              <w:rPr>
                <w:rFonts w:ascii="微软雅黑" w:hAnsi="微软雅黑" w:cs="宋体" w:hint="eastAsia"/>
                <w:sz w:val="18"/>
                <w:szCs w:val="18"/>
              </w:rPr>
              <w:t>元</w:t>
            </w:r>
          </w:p>
        </w:tc>
      </w:tr>
      <w:tr w:rsidR="00EF0589">
        <w:trPr>
          <w:trHeight w:val="316"/>
        </w:trPr>
        <w:tc>
          <w:tcPr>
            <w:tcW w:w="3582" w:type="dxa"/>
            <w:gridSpan w:val="2"/>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写字楼物业管理费</w:t>
            </w:r>
          </w:p>
        </w:tc>
        <w:tc>
          <w:tcPr>
            <w:tcW w:w="3040"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5</w:t>
            </w:r>
            <w:r>
              <w:rPr>
                <w:rFonts w:ascii="微软雅黑" w:hAnsi="微软雅黑" w:cs="宋体" w:hint="eastAsia"/>
                <w:sz w:val="18"/>
                <w:szCs w:val="18"/>
              </w:rPr>
              <w:t>元</w:t>
            </w:r>
            <w:r>
              <w:rPr>
                <w:rFonts w:ascii="微软雅黑" w:hAnsi="微软雅黑" w:cs="宋体" w:hint="eastAsia"/>
                <w:sz w:val="18"/>
                <w:szCs w:val="18"/>
              </w:rPr>
              <w:t>/</w:t>
            </w:r>
            <w:r>
              <w:rPr>
                <w:rFonts w:ascii="微软雅黑" w:hAnsi="微软雅黑" w:cs="宋体" w:hint="eastAsia"/>
                <w:sz w:val="18"/>
                <w:szCs w:val="18"/>
              </w:rPr>
              <w:t>月</w:t>
            </w:r>
          </w:p>
        </w:tc>
        <w:tc>
          <w:tcPr>
            <w:tcW w:w="2824"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合计：</w:t>
            </w:r>
            <w:r>
              <w:rPr>
                <w:rFonts w:ascii="微软雅黑" w:hAnsi="微软雅黑" w:cs="宋体" w:hint="eastAsia"/>
                <w:sz w:val="18"/>
                <w:szCs w:val="18"/>
              </w:rPr>
              <w:t>1136817</w:t>
            </w:r>
            <w:r>
              <w:rPr>
                <w:rFonts w:ascii="微软雅黑" w:hAnsi="微软雅黑" w:cs="宋体" w:hint="eastAsia"/>
                <w:sz w:val="18"/>
                <w:szCs w:val="18"/>
              </w:rPr>
              <w:t>元</w:t>
            </w:r>
          </w:p>
        </w:tc>
      </w:tr>
      <w:tr w:rsidR="00EF0589">
        <w:trPr>
          <w:trHeight w:val="316"/>
        </w:trPr>
        <w:tc>
          <w:tcPr>
            <w:tcW w:w="3582" w:type="dxa"/>
            <w:gridSpan w:val="2"/>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写字楼大堂咖啡厅及其他服务场所租赁</w:t>
            </w:r>
            <w:r>
              <w:rPr>
                <w:rFonts w:ascii="微软雅黑" w:hAnsi="微软雅黑" w:cs="宋体" w:hint="eastAsia"/>
                <w:sz w:val="18"/>
                <w:szCs w:val="18"/>
              </w:rPr>
              <w:t>:300</w:t>
            </w:r>
            <w:r>
              <w:rPr>
                <w:rFonts w:ascii="宋体" w:hAnsi="宋体" w:cs="宋体" w:hint="eastAsia"/>
                <w:sz w:val="18"/>
                <w:szCs w:val="18"/>
              </w:rPr>
              <w:t>㎡</w:t>
            </w:r>
          </w:p>
        </w:tc>
        <w:tc>
          <w:tcPr>
            <w:tcW w:w="3040"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租金：</w:t>
            </w:r>
            <w:r>
              <w:rPr>
                <w:rFonts w:ascii="微软雅黑" w:hAnsi="微软雅黑" w:cs="宋体" w:hint="eastAsia"/>
                <w:sz w:val="18"/>
                <w:szCs w:val="18"/>
              </w:rPr>
              <w:t>15</w:t>
            </w:r>
            <w:r>
              <w:rPr>
                <w:rFonts w:ascii="微软雅黑" w:hAnsi="微软雅黑" w:cs="宋体" w:hint="eastAsia"/>
                <w:sz w:val="18"/>
                <w:szCs w:val="18"/>
              </w:rPr>
              <w:t>元</w:t>
            </w:r>
            <w:r>
              <w:rPr>
                <w:rFonts w:ascii="微软雅黑" w:hAnsi="微软雅黑" w:cs="宋体" w:hint="eastAsia"/>
                <w:sz w:val="18"/>
                <w:szCs w:val="18"/>
              </w:rPr>
              <w:t>/</w:t>
            </w:r>
            <w:r>
              <w:rPr>
                <w:rFonts w:ascii="微软雅黑" w:hAnsi="微软雅黑" w:cs="宋体" w:hint="eastAsia"/>
                <w:sz w:val="18"/>
                <w:szCs w:val="18"/>
              </w:rPr>
              <w:t>天</w:t>
            </w:r>
            <w:r>
              <w:rPr>
                <w:rFonts w:ascii="微软雅黑" w:hAnsi="微软雅黑" w:cs="宋体" w:hint="eastAsia"/>
                <w:sz w:val="18"/>
                <w:szCs w:val="18"/>
              </w:rPr>
              <w:t>/</w:t>
            </w:r>
            <w:r>
              <w:rPr>
                <w:rFonts w:ascii="宋体" w:hAnsi="宋体" w:cs="宋体" w:hint="eastAsia"/>
                <w:sz w:val="18"/>
                <w:szCs w:val="18"/>
              </w:rPr>
              <w:t>㎡</w:t>
            </w:r>
          </w:p>
        </w:tc>
        <w:tc>
          <w:tcPr>
            <w:tcW w:w="2824"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合计：</w:t>
            </w:r>
            <w:r>
              <w:rPr>
                <w:rFonts w:ascii="微软雅黑" w:hAnsi="微软雅黑" w:cs="宋体" w:hint="eastAsia"/>
                <w:sz w:val="18"/>
                <w:szCs w:val="18"/>
              </w:rPr>
              <w:t>1642500</w:t>
            </w:r>
            <w:r>
              <w:rPr>
                <w:rFonts w:ascii="微软雅黑" w:hAnsi="微软雅黑" w:cs="宋体" w:hint="eastAsia"/>
                <w:sz w:val="18"/>
                <w:szCs w:val="18"/>
              </w:rPr>
              <w:t>元</w:t>
            </w:r>
          </w:p>
        </w:tc>
      </w:tr>
      <w:tr w:rsidR="00EF0589">
        <w:trPr>
          <w:trHeight w:val="316"/>
        </w:trPr>
        <w:tc>
          <w:tcPr>
            <w:tcW w:w="6622" w:type="dxa"/>
            <w:gridSpan w:val="3"/>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写字楼广告位收入：包括大堂、电梯、形象墙、水牌等</w:t>
            </w:r>
          </w:p>
        </w:tc>
        <w:tc>
          <w:tcPr>
            <w:tcW w:w="2824"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300</w:t>
            </w:r>
            <w:r>
              <w:rPr>
                <w:rFonts w:ascii="微软雅黑" w:hAnsi="微软雅黑" w:cs="宋体" w:hint="eastAsia"/>
                <w:sz w:val="18"/>
                <w:szCs w:val="18"/>
              </w:rPr>
              <w:t>万</w:t>
            </w:r>
          </w:p>
        </w:tc>
      </w:tr>
      <w:tr w:rsidR="00EF0589">
        <w:trPr>
          <w:trHeight w:val="405"/>
        </w:trPr>
        <w:tc>
          <w:tcPr>
            <w:tcW w:w="6622" w:type="dxa"/>
            <w:gridSpan w:val="3"/>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商场广告位收入：包括户外</w:t>
            </w:r>
            <w:r>
              <w:rPr>
                <w:rFonts w:ascii="微软雅黑" w:hAnsi="微软雅黑" w:cs="宋体" w:hint="eastAsia"/>
                <w:sz w:val="18"/>
                <w:szCs w:val="18"/>
              </w:rPr>
              <w:t>LED</w:t>
            </w:r>
            <w:r>
              <w:rPr>
                <w:rFonts w:ascii="微软雅黑" w:hAnsi="微软雅黑" w:cs="宋体" w:hint="eastAsia"/>
                <w:sz w:val="18"/>
                <w:szCs w:val="18"/>
              </w:rPr>
              <w:t>屏、精神堡垒、幕墙、柱、形象墙、导览图、扶梯、观光梯、吊旗、条幅、会员手册、会员</w:t>
            </w:r>
            <w:r>
              <w:rPr>
                <w:rFonts w:ascii="微软雅黑" w:hAnsi="微软雅黑" w:cs="宋体" w:hint="eastAsia"/>
                <w:sz w:val="18"/>
                <w:szCs w:val="18"/>
              </w:rPr>
              <w:t>DM</w:t>
            </w:r>
            <w:r>
              <w:rPr>
                <w:rFonts w:ascii="微软雅黑" w:hAnsi="微软雅黑" w:cs="宋体" w:hint="eastAsia"/>
                <w:sz w:val="18"/>
                <w:szCs w:val="18"/>
              </w:rPr>
              <w:t>、微信推广、中庭、小广场等</w:t>
            </w:r>
          </w:p>
        </w:tc>
        <w:tc>
          <w:tcPr>
            <w:tcW w:w="2824" w:type="dxa"/>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1000</w:t>
            </w:r>
            <w:r>
              <w:rPr>
                <w:rFonts w:ascii="微软雅黑" w:hAnsi="微软雅黑" w:cs="宋体" w:hint="eastAsia"/>
                <w:sz w:val="18"/>
                <w:szCs w:val="18"/>
              </w:rPr>
              <w:t>万</w:t>
            </w:r>
          </w:p>
        </w:tc>
      </w:tr>
      <w:tr w:rsidR="00EF0589">
        <w:trPr>
          <w:trHeight w:val="392"/>
        </w:trPr>
        <w:tc>
          <w:tcPr>
            <w:tcW w:w="9446" w:type="dxa"/>
            <w:gridSpan w:val="4"/>
            <w:noWrap/>
            <w:vAlign w:val="center"/>
          </w:tcPr>
          <w:p w:rsidR="00EF0589" w:rsidRDefault="00C22DD3">
            <w:pPr>
              <w:jc w:val="left"/>
              <w:rPr>
                <w:rFonts w:ascii="微软雅黑" w:hAnsi="微软雅黑" w:cs="宋体"/>
                <w:sz w:val="18"/>
                <w:szCs w:val="18"/>
              </w:rPr>
            </w:pPr>
            <w:r>
              <w:rPr>
                <w:rFonts w:ascii="微软雅黑" w:hAnsi="微软雅黑" w:cs="宋体" w:hint="eastAsia"/>
                <w:sz w:val="18"/>
                <w:szCs w:val="18"/>
              </w:rPr>
              <w:t>小计：</w:t>
            </w:r>
            <w:r>
              <w:rPr>
                <w:rFonts w:ascii="微软雅黑" w:hAnsi="微软雅黑" w:cs="宋体" w:hint="eastAsia"/>
                <w:sz w:val="18"/>
                <w:szCs w:val="18"/>
              </w:rPr>
              <w:t>2630</w:t>
            </w:r>
            <w:r>
              <w:rPr>
                <w:rFonts w:ascii="微软雅黑" w:hAnsi="微软雅黑" w:cs="宋体" w:hint="eastAsia"/>
                <w:sz w:val="18"/>
                <w:szCs w:val="18"/>
              </w:rPr>
              <w:t>万元</w:t>
            </w:r>
          </w:p>
        </w:tc>
      </w:tr>
    </w:tbl>
    <w:p w:rsidR="00EF0589" w:rsidRDefault="00EF0589">
      <w:pPr>
        <w:outlineLvl w:val="0"/>
        <w:rPr>
          <w:rFonts w:ascii="仿宋" w:eastAsia="仿宋" w:hAnsi="仿宋"/>
          <w:b/>
          <w:bCs/>
          <w:kern w:val="0"/>
          <w:sz w:val="28"/>
          <w:szCs w:val="28"/>
        </w:rPr>
      </w:pPr>
    </w:p>
    <w:p w:rsidR="00EF0589" w:rsidRDefault="001C4E16" w:rsidP="001C4E16">
      <w:pPr>
        <w:ind w:firstLineChars="100" w:firstLine="280"/>
        <w:rPr>
          <w:rFonts w:ascii="仿宋" w:eastAsia="仿宋" w:hAnsi="仿宋"/>
          <w:kern w:val="0"/>
          <w:sz w:val="28"/>
          <w:szCs w:val="28"/>
        </w:rPr>
      </w:pPr>
      <w:r>
        <w:rPr>
          <w:rFonts w:ascii="仿宋" w:eastAsia="仿宋" w:hAnsi="仿宋" w:hint="eastAsia"/>
          <w:kern w:val="0"/>
          <w:sz w:val="28"/>
          <w:szCs w:val="28"/>
        </w:rPr>
        <w:t>5</w:t>
      </w:r>
      <w:r w:rsidR="00C22DD3">
        <w:rPr>
          <w:rFonts w:ascii="仿宋" w:eastAsia="仿宋" w:hAnsi="仿宋" w:hint="eastAsia"/>
          <w:kern w:val="0"/>
          <w:sz w:val="28"/>
          <w:szCs w:val="28"/>
        </w:rPr>
        <w:t xml:space="preserve">转让方式 </w:t>
      </w:r>
    </w:p>
    <w:p w:rsidR="00EF0589" w:rsidRDefault="00C22DD3">
      <w:pPr>
        <w:spacing w:line="360" w:lineRule="auto"/>
        <w:ind w:firstLineChars="200" w:firstLine="560"/>
        <w:rPr>
          <w:rFonts w:ascii="宋体" w:hAnsi="宋体" w:cs="宋体"/>
          <w:sz w:val="28"/>
          <w:szCs w:val="28"/>
        </w:rPr>
      </w:pPr>
      <w:r>
        <w:rPr>
          <w:rFonts w:ascii="宋体" w:hAnsi="宋体" w:cs="宋体"/>
          <w:kern w:val="0"/>
          <w:sz w:val="28"/>
          <w:szCs w:val="28"/>
        </w:rPr>
        <w:t>项目总建筑面积148</w:t>
      </w:r>
      <w:r>
        <w:rPr>
          <w:rFonts w:ascii="宋体" w:hAnsi="宋体" w:cs="宋体" w:hint="eastAsia"/>
          <w:kern w:val="0"/>
          <w:sz w:val="28"/>
          <w:szCs w:val="28"/>
        </w:rPr>
        <w:t>268㎡，</w:t>
      </w:r>
      <w:r>
        <w:rPr>
          <w:rFonts w:ascii="宋体" w:hAnsi="宋体" w:cs="宋体" w:hint="eastAsia"/>
          <w:sz w:val="28"/>
          <w:szCs w:val="28"/>
        </w:rPr>
        <w:t>截2017年1月31日项目评估值是20.5亿元。</w:t>
      </w:r>
    </w:p>
    <w:p w:rsidR="00EF0589" w:rsidRDefault="00C22DD3">
      <w:pPr>
        <w:spacing w:line="360" w:lineRule="auto"/>
        <w:ind w:firstLineChars="200" w:firstLine="560"/>
        <w:rPr>
          <w:rFonts w:ascii="宋体" w:hAnsi="宋体" w:cs="宋体"/>
          <w:kern w:val="0"/>
          <w:sz w:val="28"/>
          <w:szCs w:val="28"/>
        </w:rPr>
      </w:pPr>
      <w:r>
        <w:rPr>
          <w:rFonts w:hint="eastAsia"/>
          <w:sz w:val="28"/>
          <w:szCs w:val="28"/>
        </w:rPr>
        <w:t>转让价款为</w:t>
      </w:r>
      <w:r>
        <w:rPr>
          <w:rFonts w:ascii="宋体" w:hAnsi="宋体" w:cs="宋体"/>
          <w:bCs/>
          <w:kern w:val="0"/>
          <w:sz w:val="28"/>
          <w:szCs w:val="28"/>
        </w:rPr>
        <w:t>酒店</w:t>
      </w:r>
      <w:r>
        <w:rPr>
          <w:rFonts w:ascii="宋体" w:hAnsi="宋体" w:cs="宋体" w:hint="eastAsia"/>
          <w:bCs/>
          <w:kern w:val="0"/>
          <w:sz w:val="28"/>
          <w:szCs w:val="28"/>
        </w:rPr>
        <w:t>5.5亿元，国际SVO商务中心</w:t>
      </w:r>
      <w:r>
        <w:rPr>
          <w:rFonts w:ascii="宋体" w:hAnsi="宋体" w:cs="宋体"/>
          <w:bCs/>
          <w:kern w:val="0"/>
          <w:sz w:val="28"/>
          <w:szCs w:val="28"/>
        </w:rPr>
        <w:t>写字楼</w:t>
      </w:r>
      <w:r>
        <w:rPr>
          <w:rFonts w:ascii="宋体" w:hAnsi="宋体" w:cs="宋体" w:hint="eastAsia"/>
          <w:bCs/>
          <w:kern w:val="0"/>
          <w:sz w:val="28"/>
          <w:szCs w:val="28"/>
        </w:rPr>
        <w:t>2亿元，精品购物广场7.5亿元，整体转让</w:t>
      </w:r>
      <w:r>
        <w:rPr>
          <w:rFonts w:ascii="宋体" w:hAnsi="宋体" w:cs="宋体" w:hint="eastAsia"/>
          <w:kern w:val="0"/>
          <w:sz w:val="28"/>
          <w:szCs w:val="28"/>
        </w:rPr>
        <w:t>价格15亿元。</w:t>
      </w:r>
      <w:r>
        <w:rPr>
          <w:rFonts w:ascii="宋体" w:hAnsi="宋体" w:cs="宋体" w:hint="eastAsia"/>
          <w:bCs/>
          <w:kern w:val="0"/>
          <w:sz w:val="28"/>
          <w:szCs w:val="28"/>
        </w:rPr>
        <w:t>模式为整体转让及分项转让两种，可</w:t>
      </w:r>
      <w:r>
        <w:rPr>
          <w:rFonts w:ascii="宋体" w:hAnsi="宋体" w:cs="宋体" w:hint="eastAsia"/>
          <w:kern w:val="0"/>
          <w:sz w:val="28"/>
          <w:szCs w:val="28"/>
        </w:rPr>
        <w:t>资产转让也可公司股权转让。</w:t>
      </w:r>
    </w:p>
    <w:p w:rsidR="00EF0589" w:rsidRDefault="00C22DD3">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大概方案：意向双方签订转让协议后，</w:t>
      </w:r>
      <w:r>
        <w:rPr>
          <w:rFonts w:cs="Calibri"/>
          <w:kern w:val="0"/>
          <w:sz w:val="28"/>
          <w:szCs w:val="28"/>
        </w:rPr>
        <w:t>①</w:t>
      </w:r>
      <w:r>
        <w:rPr>
          <w:rFonts w:ascii="宋体" w:hAnsi="宋体" w:cs="宋体" w:hint="eastAsia"/>
          <w:kern w:val="0"/>
          <w:sz w:val="28"/>
          <w:szCs w:val="28"/>
        </w:rPr>
        <w:t>受让方支付总价的30%至出让方帐户，出让方在30日内完成酒店资产或股权的变更过户手续，</w:t>
      </w:r>
      <w:r>
        <w:rPr>
          <w:rFonts w:cs="Calibri"/>
          <w:kern w:val="0"/>
          <w:sz w:val="28"/>
          <w:szCs w:val="28"/>
        </w:rPr>
        <w:t>②</w:t>
      </w:r>
      <w:r>
        <w:rPr>
          <w:rFonts w:ascii="宋体" w:hAnsi="宋体" w:cs="宋体" w:hint="eastAsia"/>
          <w:kern w:val="0"/>
          <w:sz w:val="28"/>
          <w:szCs w:val="28"/>
        </w:rPr>
        <w:t>受让方支付总价的60%后，出让方将完成地产名下资产或股权的变更过户手续，</w:t>
      </w:r>
      <w:r>
        <w:rPr>
          <w:rFonts w:cs="Calibri"/>
          <w:kern w:val="0"/>
          <w:sz w:val="28"/>
          <w:szCs w:val="28"/>
        </w:rPr>
        <w:t>③</w:t>
      </w:r>
      <w:r>
        <w:rPr>
          <w:rFonts w:cs="Calibri" w:hint="eastAsia"/>
          <w:kern w:val="0"/>
          <w:sz w:val="28"/>
          <w:szCs w:val="28"/>
        </w:rPr>
        <w:t>在</w:t>
      </w:r>
      <w:r>
        <w:rPr>
          <w:rFonts w:ascii="宋体" w:hAnsi="宋体" w:cs="宋体" w:hint="eastAsia"/>
          <w:kern w:val="0"/>
          <w:sz w:val="28"/>
          <w:szCs w:val="28"/>
        </w:rPr>
        <w:t>资产或股权变更过户手续完成后的60日内，在无债权争议的条件下，受让方支付剩余的10%价款。</w:t>
      </w:r>
    </w:p>
    <w:p w:rsidR="006300BB" w:rsidRDefault="006300BB" w:rsidP="006300BB">
      <w:pPr>
        <w:ind w:firstLineChars="100" w:firstLine="280"/>
        <w:rPr>
          <w:rFonts w:ascii="仿宋" w:eastAsia="仿宋" w:hAnsi="仿宋"/>
          <w:kern w:val="0"/>
          <w:sz w:val="28"/>
          <w:szCs w:val="28"/>
        </w:rPr>
      </w:pPr>
      <w:r>
        <w:rPr>
          <w:rFonts w:ascii="仿宋" w:eastAsia="仿宋" w:hAnsi="仿宋" w:hint="eastAsia"/>
          <w:kern w:val="0"/>
          <w:sz w:val="28"/>
          <w:szCs w:val="28"/>
        </w:rPr>
        <w:t xml:space="preserve">6 融资方式 </w:t>
      </w:r>
    </w:p>
    <w:p w:rsidR="006300BB" w:rsidRDefault="006300BB">
      <w:pPr>
        <w:ind w:firstLineChars="200" w:firstLine="560"/>
        <w:rPr>
          <w:rFonts w:ascii="宋体" w:hAnsi="宋体" w:cs="宋体"/>
          <w:sz w:val="28"/>
          <w:szCs w:val="28"/>
        </w:rPr>
      </w:pPr>
    </w:p>
    <w:p w:rsidR="006300BB" w:rsidRPr="006300BB" w:rsidRDefault="006300BB" w:rsidP="006300BB">
      <w:pPr>
        <w:rPr>
          <w:rFonts w:ascii="宋体" w:hAnsi="宋体" w:cs="宋体"/>
          <w:sz w:val="28"/>
          <w:szCs w:val="28"/>
        </w:rPr>
      </w:pPr>
      <w:r w:rsidRPr="006300BB">
        <w:rPr>
          <w:rFonts w:ascii="宋体" w:hAnsi="宋体" w:cs="宋体" w:hint="eastAsia"/>
          <w:sz w:val="28"/>
          <w:szCs w:val="28"/>
        </w:rPr>
        <w:t>贷款总额：10亿元</w:t>
      </w:r>
    </w:p>
    <w:p w:rsidR="006300BB" w:rsidRPr="006300BB" w:rsidRDefault="006300BB" w:rsidP="006300BB">
      <w:pPr>
        <w:rPr>
          <w:rFonts w:ascii="宋体" w:hAnsi="宋体" w:cs="宋体"/>
          <w:sz w:val="28"/>
          <w:szCs w:val="28"/>
        </w:rPr>
      </w:pPr>
      <w:r w:rsidRPr="006300BB">
        <w:rPr>
          <w:rFonts w:ascii="宋体" w:hAnsi="宋体" w:cs="宋体" w:hint="eastAsia"/>
          <w:sz w:val="28"/>
          <w:szCs w:val="28"/>
        </w:rPr>
        <w:t>贷款期限：10年</w:t>
      </w:r>
    </w:p>
    <w:p w:rsidR="006300BB" w:rsidRPr="006300BB" w:rsidRDefault="006300BB" w:rsidP="006300BB">
      <w:pPr>
        <w:rPr>
          <w:rFonts w:ascii="宋体" w:hAnsi="宋体" w:cs="宋体"/>
          <w:sz w:val="28"/>
          <w:szCs w:val="28"/>
        </w:rPr>
      </w:pPr>
      <w:r w:rsidRPr="006300BB">
        <w:rPr>
          <w:rFonts w:ascii="宋体" w:hAnsi="宋体" w:cs="宋体" w:hint="eastAsia"/>
          <w:sz w:val="28"/>
          <w:szCs w:val="28"/>
        </w:rPr>
        <w:t>资金用途：6.3亿元用于覆盖前期债务，3.7亿元用于后期装修及开业前的流动资金</w:t>
      </w:r>
    </w:p>
    <w:p w:rsidR="006300BB" w:rsidRPr="006300BB" w:rsidRDefault="006300BB" w:rsidP="006300BB">
      <w:pPr>
        <w:rPr>
          <w:rFonts w:ascii="宋体" w:hAnsi="宋体" w:cs="宋体"/>
          <w:sz w:val="28"/>
          <w:szCs w:val="28"/>
        </w:rPr>
      </w:pPr>
      <w:r w:rsidRPr="006300BB">
        <w:rPr>
          <w:rFonts w:ascii="宋体" w:hAnsi="宋体" w:cs="宋体" w:hint="eastAsia"/>
          <w:sz w:val="28"/>
          <w:szCs w:val="28"/>
        </w:rPr>
        <w:t>还款来源：1经营性收益</w:t>
      </w:r>
    </w:p>
    <w:p w:rsidR="006300BB" w:rsidRPr="006300BB" w:rsidRDefault="006300BB" w:rsidP="006300BB">
      <w:pPr>
        <w:ind w:firstLineChars="500" w:firstLine="1400"/>
        <w:rPr>
          <w:rFonts w:ascii="宋体" w:hAnsi="宋体" w:cs="宋体"/>
          <w:sz w:val="28"/>
          <w:szCs w:val="28"/>
        </w:rPr>
      </w:pPr>
      <w:r w:rsidRPr="006300BB">
        <w:rPr>
          <w:rFonts w:ascii="宋体" w:hAnsi="宋体" w:cs="宋体" w:hint="eastAsia"/>
          <w:sz w:val="28"/>
          <w:szCs w:val="28"/>
        </w:rPr>
        <w:t>2资产变现（根据借款年限确定资产变现量）</w:t>
      </w:r>
    </w:p>
    <w:p w:rsidR="006300BB" w:rsidRPr="006300BB" w:rsidRDefault="006300BB" w:rsidP="006300BB">
      <w:pPr>
        <w:rPr>
          <w:rFonts w:ascii="宋体" w:hAnsi="宋体" w:cs="宋体"/>
          <w:sz w:val="28"/>
          <w:szCs w:val="28"/>
        </w:rPr>
      </w:pPr>
      <w:r w:rsidRPr="006300BB">
        <w:rPr>
          <w:rFonts w:ascii="宋体" w:hAnsi="宋体" w:cs="宋体" w:hint="eastAsia"/>
          <w:sz w:val="28"/>
          <w:szCs w:val="28"/>
        </w:rPr>
        <w:t>项目价值：项目占地面积20894.95m2，总建筑面积148268平方米。2017年1月31日评估值为20.5亿元（其中不包括后期建设）。截止2019年项目总投资12.9</w:t>
      </w:r>
      <w:bookmarkStart w:id="14" w:name="_GoBack"/>
      <w:bookmarkEnd w:id="14"/>
      <w:r w:rsidRPr="006300BB">
        <w:rPr>
          <w:rFonts w:ascii="宋体" w:hAnsi="宋体" w:cs="宋体" w:hint="eastAsia"/>
          <w:sz w:val="28"/>
          <w:szCs w:val="28"/>
        </w:rPr>
        <w:t>亿元。项目全部建设完成达到开业状态，预计市值可达30亿元，如贷款期限3—5年，可出售资产的30%即可归还全部贷款，如贷款期限较长，可用写字楼、商业的经营性收益还款。</w:t>
      </w:r>
    </w:p>
    <w:p w:rsidR="006300BB" w:rsidRPr="006300BB" w:rsidRDefault="006300BB">
      <w:pPr>
        <w:ind w:firstLineChars="200" w:firstLine="560"/>
        <w:rPr>
          <w:rFonts w:ascii="宋体" w:hAnsi="宋体" w:cs="宋体"/>
          <w:sz w:val="28"/>
          <w:szCs w:val="28"/>
        </w:rPr>
      </w:pPr>
    </w:p>
    <w:p w:rsidR="006300BB" w:rsidRDefault="006300BB">
      <w:pPr>
        <w:ind w:firstLineChars="200" w:firstLine="560"/>
        <w:rPr>
          <w:rFonts w:ascii="宋体" w:hAnsi="宋体" w:cs="宋体"/>
          <w:sz w:val="28"/>
          <w:szCs w:val="28"/>
        </w:rPr>
      </w:pPr>
    </w:p>
    <w:p w:rsidR="00EF0589" w:rsidRDefault="00C22DD3">
      <w:pPr>
        <w:ind w:firstLineChars="200" w:firstLine="560"/>
        <w:rPr>
          <w:rFonts w:ascii="宋体" w:hAnsi="宋体" w:cs="宋体"/>
          <w:sz w:val="28"/>
          <w:szCs w:val="28"/>
        </w:rPr>
      </w:pPr>
      <w:r>
        <w:rPr>
          <w:rFonts w:ascii="宋体" w:hAnsi="宋体" w:cs="宋体" w:hint="eastAsia"/>
          <w:sz w:val="28"/>
          <w:szCs w:val="28"/>
        </w:rPr>
        <w:t>以上方案具体合作方式、合作内容可进一步协议磋商，“可调性、自由性、多样性、开放性”是我司在此次合作上的合作原则，我司将会充分考虑在协议磋商时合作方的意见与要求，力求达到完美合作，双向共赢的目的。</w:t>
      </w:r>
    </w:p>
    <w:p w:rsidR="00EF0589" w:rsidRDefault="00EF0589">
      <w:pPr>
        <w:outlineLvl w:val="0"/>
        <w:rPr>
          <w:rFonts w:ascii="仿宋" w:eastAsia="仿宋" w:hAnsi="仿宋"/>
          <w:b/>
          <w:bCs/>
          <w:kern w:val="0"/>
          <w:sz w:val="28"/>
          <w:szCs w:val="28"/>
        </w:rPr>
      </w:pPr>
    </w:p>
    <w:p w:rsidR="00EF0589" w:rsidRDefault="00A953D7">
      <w:pPr>
        <w:outlineLvl w:val="0"/>
        <w:rPr>
          <w:rFonts w:ascii="仿宋" w:eastAsia="仿宋" w:hAnsi="仿宋"/>
          <w:b/>
          <w:bCs/>
          <w:kern w:val="0"/>
          <w:sz w:val="28"/>
          <w:szCs w:val="28"/>
        </w:rPr>
      </w:pPr>
      <w:r>
        <w:rPr>
          <w:noProof/>
        </w:rPr>
        <w:lastRenderedPageBreak/>
        <w:drawing>
          <wp:inline distT="0" distB="0" distL="0" distR="0" wp14:anchorId="01966EFB" wp14:editId="012406E6">
            <wp:extent cx="5274310" cy="319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194685"/>
                    </a:xfrm>
                    <a:prstGeom prst="rect">
                      <a:avLst/>
                    </a:prstGeom>
                  </pic:spPr>
                </pic:pic>
              </a:graphicData>
            </a:graphic>
          </wp:inline>
        </w:drawing>
      </w:r>
    </w:p>
    <w:p w:rsidR="00EF0589" w:rsidRDefault="00EF0589">
      <w:pPr>
        <w:ind w:firstLine="435"/>
        <w:rPr>
          <w:rFonts w:ascii="仿宋" w:eastAsia="仿宋" w:hAnsi="仿宋"/>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8306"/>
      </w:tblGrid>
      <w:tr w:rsidR="00A953D7" w:rsidRPr="00A953D7" w:rsidTr="00A953D7">
        <w:trPr>
          <w:tblCellSpacing w:w="0" w:type="dxa"/>
        </w:trPr>
        <w:tc>
          <w:tcPr>
            <w:tcW w:w="0" w:type="auto"/>
            <w:hideMark/>
          </w:tcPr>
          <w:p w:rsidR="00A953D7" w:rsidRPr="00A953D7" w:rsidRDefault="00A953D7" w:rsidP="00A953D7">
            <w:pPr>
              <w:widowControl/>
              <w:jc w:val="center"/>
              <w:rPr>
                <w:rFonts w:ascii="宋体" w:hAnsi="宋体" w:cs="宋体"/>
                <w:color w:val="000000"/>
                <w:kern w:val="0"/>
                <w:sz w:val="18"/>
                <w:szCs w:val="18"/>
              </w:rPr>
            </w:pPr>
          </w:p>
        </w:tc>
      </w:tr>
      <w:tr w:rsidR="00A953D7" w:rsidRPr="00A953D7" w:rsidTr="00A953D7">
        <w:trPr>
          <w:trHeight w:val="360"/>
          <w:tblCellSpacing w:w="0" w:type="dxa"/>
        </w:trPr>
        <w:tc>
          <w:tcPr>
            <w:tcW w:w="0" w:type="auto"/>
            <w:shd w:val="clear" w:color="auto" w:fill="F1F1F1"/>
            <w:tcMar>
              <w:top w:w="0" w:type="dxa"/>
              <w:left w:w="75" w:type="dxa"/>
              <w:bottom w:w="0" w:type="dxa"/>
              <w:right w:w="0" w:type="dxa"/>
            </w:tcMar>
            <w:vAlign w:val="center"/>
            <w:hideMark/>
          </w:tcPr>
          <w:p w:rsidR="00A953D7" w:rsidRPr="00A953D7" w:rsidRDefault="00A953D7" w:rsidP="00A953D7">
            <w:pPr>
              <w:widowControl/>
              <w:jc w:val="center"/>
              <w:rPr>
                <w:rFonts w:ascii="Times New Roman" w:eastAsia="Times New Roman" w:hAnsi="Times New Roman"/>
                <w:kern w:val="0"/>
                <w:sz w:val="20"/>
              </w:rPr>
            </w:pPr>
          </w:p>
        </w:tc>
      </w:tr>
    </w:tbl>
    <w:p w:rsidR="00EF0589" w:rsidRPr="00A953D7" w:rsidRDefault="00EF0589"/>
    <w:sectPr w:rsidR="00EF0589" w:rsidRPr="00A953D7" w:rsidSect="00EF05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09D" w:rsidRDefault="000B009D" w:rsidP="005B2477">
      <w:r>
        <w:separator/>
      </w:r>
    </w:p>
  </w:endnote>
  <w:endnote w:type="continuationSeparator" w:id="0">
    <w:p w:rsidR="000B009D" w:rsidRDefault="000B009D" w:rsidP="005B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09D" w:rsidRDefault="000B009D" w:rsidP="005B2477">
      <w:r>
        <w:separator/>
      </w:r>
    </w:p>
  </w:footnote>
  <w:footnote w:type="continuationSeparator" w:id="0">
    <w:p w:rsidR="000B009D" w:rsidRDefault="000B009D" w:rsidP="005B2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E70076"/>
    <w:multiLevelType w:val="singleLevel"/>
    <w:tmpl w:val="E3E70076"/>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0589"/>
    <w:rsid w:val="000B009D"/>
    <w:rsid w:val="001C4E16"/>
    <w:rsid w:val="0020706B"/>
    <w:rsid w:val="00240ABC"/>
    <w:rsid w:val="00296498"/>
    <w:rsid w:val="00346A2E"/>
    <w:rsid w:val="003640A4"/>
    <w:rsid w:val="00380837"/>
    <w:rsid w:val="005B2477"/>
    <w:rsid w:val="006300BB"/>
    <w:rsid w:val="00687811"/>
    <w:rsid w:val="00720DA3"/>
    <w:rsid w:val="00804EE6"/>
    <w:rsid w:val="009D54EA"/>
    <w:rsid w:val="00A953D7"/>
    <w:rsid w:val="00B169B4"/>
    <w:rsid w:val="00C22DD3"/>
    <w:rsid w:val="00CD2E99"/>
    <w:rsid w:val="00CE0E53"/>
    <w:rsid w:val="00D873DE"/>
    <w:rsid w:val="00EF0589"/>
    <w:rsid w:val="00F94A24"/>
    <w:rsid w:val="4C186399"/>
    <w:rsid w:val="693F4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6A3897-FC12-4E70-BDE6-7A3193E6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58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EF05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qFormat/>
    <w:rsid w:val="00EF0589"/>
    <w:rPr>
      <w:color w:val="136EC2"/>
      <w:u w:val="single"/>
    </w:rPr>
  </w:style>
  <w:style w:type="paragraph" w:styleId="a5">
    <w:name w:val="header"/>
    <w:basedOn w:val="a"/>
    <w:link w:val="Char"/>
    <w:rsid w:val="005B2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B2477"/>
    <w:rPr>
      <w:kern w:val="2"/>
      <w:sz w:val="18"/>
      <w:szCs w:val="18"/>
    </w:rPr>
  </w:style>
  <w:style w:type="paragraph" w:styleId="a6">
    <w:name w:val="footer"/>
    <w:basedOn w:val="a"/>
    <w:link w:val="Char0"/>
    <w:rsid w:val="005B2477"/>
    <w:pPr>
      <w:tabs>
        <w:tab w:val="center" w:pos="4153"/>
        <w:tab w:val="right" w:pos="8306"/>
      </w:tabs>
      <w:snapToGrid w:val="0"/>
      <w:jc w:val="left"/>
    </w:pPr>
    <w:rPr>
      <w:sz w:val="18"/>
      <w:szCs w:val="18"/>
    </w:rPr>
  </w:style>
  <w:style w:type="character" w:customStyle="1" w:styleId="Char0">
    <w:name w:val="页脚 Char"/>
    <w:basedOn w:val="a0"/>
    <w:link w:val="a6"/>
    <w:rsid w:val="005B2477"/>
    <w:rPr>
      <w:kern w:val="2"/>
      <w:sz w:val="18"/>
      <w:szCs w:val="18"/>
    </w:rPr>
  </w:style>
  <w:style w:type="paragraph" w:styleId="a7">
    <w:name w:val="Normal (Web)"/>
    <w:basedOn w:val="a"/>
    <w:uiPriority w:val="99"/>
    <w:semiHidden/>
    <w:unhideWhenUsed/>
    <w:rsid w:val="00A953D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69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21438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lxf</cp:lastModifiedBy>
  <cp:revision>14</cp:revision>
  <dcterms:created xsi:type="dcterms:W3CDTF">2020-07-07T04:09:00Z</dcterms:created>
  <dcterms:modified xsi:type="dcterms:W3CDTF">2020-07-29T07:59:00Z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