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63A" w:rsidRDefault="00E2763A">
      <w:pPr>
        <w:spacing w:line="480" w:lineRule="auto"/>
        <w:jc w:val="center"/>
        <w:rPr>
          <w:b/>
          <w:bCs/>
          <w:sz w:val="40"/>
          <w:szCs w:val="40"/>
        </w:rPr>
      </w:pPr>
    </w:p>
    <w:p w:rsidR="00E2763A" w:rsidRDefault="00FC34F3">
      <w:pPr>
        <w:spacing w:line="48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陕西金苑房地产开发有限公司项目简介</w:t>
      </w:r>
    </w:p>
    <w:p w:rsidR="00E2763A" w:rsidRDefault="00E2763A">
      <w:pPr>
        <w:spacing w:line="480" w:lineRule="auto"/>
        <w:jc w:val="center"/>
        <w:rPr>
          <w:b/>
          <w:bCs/>
          <w:sz w:val="40"/>
          <w:szCs w:val="40"/>
        </w:rPr>
      </w:pPr>
    </w:p>
    <w:p w:rsidR="00E2763A" w:rsidRDefault="00FC34F3">
      <w:pPr>
        <w:spacing w:line="48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一、项目的基本情况</w:t>
      </w:r>
      <w:r>
        <w:rPr>
          <w:rFonts w:hint="eastAsia"/>
          <w:sz w:val="30"/>
          <w:szCs w:val="30"/>
        </w:rPr>
        <w:t>：</w:t>
      </w:r>
    </w:p>
    <w:p w:rsidR="00E2763A" w:rsidRDefault="00FC34F3">
      <w:pPr>
        <w:spacing w:line="48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自</w:t>
      </w:r>
      <w:r>
        <w:rPr>
          <w:sz w:val="30"/>
          <w:szCs w:val="30"/>
        </w:rPr>
        <w:t>2009</w:t>
      </w:r>
      <w:r>
        <w:rPr>
          <w:rFonts w:hint="eastAsia"/>
          <w:sz w:val="30"/>
          <w:szCs w:val="30"/>
        </w:rPr>
        <w:t>年起，公司启动征用了西安经济技术开发区核心区域内凤城六路与</w:t>
      </w:r>
      <w:proofErr w:type="gramStart"/>
      <w:r>
        <w:rPr>
          <w:rFonts w:hint="eastAsia"/>
          <w:sz w:val="30"/>
          <w:szCs w:val="30"/>
        </w:rPr>
        <w:t>明光路</w:t>
      </w:r>
      <w:proofErr w:type="gramEnd"/>
      <w:r>
        <w:rPr>
          <w:rFonts w:hint="eastAsia"/>
          <w:sz w:val="30"/>
          <w:szCs w:val="30"/>
        </w:rPr>
        <w:t>十字东北角</w:t>
      </w:r>
      <w:r>
        <w:rPr>
          <w:sz w:val="30"/>
          <w:szCs w:val="30"/>
        </w:rPr>
        <w:t>26.918</w:t>
      </w:r>
      <w:r>
        <w:rPr>
          <w:rFonts w:hint="eastAsia"/>
          <w:sz w:val="30"/>
          <w:szCs w:val="30"/>
        </w:rPr>
        <w:t>亩工业用地，容积率不高于</w:t>
      </w: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。</w:t>
      </w:r>
      <w:r>
        <w:rPr>
          <w:sz w:val="30"/>
          <w:szCs w:val="30"/>
        </w:rPr>
        <w:t>2014</w:t>
      </w:r>
      <w:r>
        <w:rPr>
          <w:rFonts w:hint="eastAsia"/>
          <w:sz w:val="30"/>
          <w:szCs w:val="30"/>
        </w:rPr>
        <w:t>年公司开始进行该地块开发工作。项目立项命名为“经汇广场”，规划为大型商业综合体，项目总建筑面积约</w:t>
      </w:r>
      <w:r>
        <w:rPr>
          <w:sz w:val="30"/>
          <w:szCs w:val="30"/>
        </w:rPr>
        <w:t>12</w:t>
      </w:r>
      <w:r>
        <w:rPr>
          <w:rFonts w:hint="eastAsia"/>
          <w:sz w:val="30"/>
          <w:szCs w:val="30"/>
        </w:rPr>
        <w:t>万平方米，地上约</w:t>
      </w:r>
      <w:r>
        <w:rPr>
          <w:sz w:val="30"/>
          <w:szCs w:val="30"/>
        </w:rPr>
        <w:t>9</w:t>
      </w:r>
      <w:r>
        <w:rPr>
          <w:rFonts w:hint="eastAsia"/>
          <w:sz w:val="30"/>
          <w:szCs w:val="30"/>
        </w:rPr>
        <w:t>万平方米，地下约</w:t>
      </w: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万平方米。项目分为</w:t>
      </w:r>
      <w:r>
        <w:rPr>
          <w:sz w:val="30"/>
          <w:szCs w:val="30"/>
        </w:rPr>
        <w:t>A</w:t>
      </w:r>
      <w:r>
        <w:rPr>
          <w:rFonts w:hint="eastAsia"/>
          <w:sz w:val="30"/>
          <w:szCs w:val="30"/>
        </w:rPr>
        <w:t>座</w:t>
      </w:r>
      <w:r>
        <w:rPr>
          <w:rFonts w:hint="eastAsia"/>
          <w:sz w:val="30"/>
          <w:szCs w:val="30"/>
        </w:rPr>
        <w:t>（办公）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B</w:t>
      </w:r>
      <w:r>
        <w:rPr>
          <w:rFonts w:hint="eastAsia"/>
          <w:sz w:val="30"/>
          <w:szCs w:val="30"/>
        </w:rPr>
        <w:t>座</w:t>
      </w:r>
      <w:r>
        <w:rPr>
          <w:rFonts w:hint="eastAsia"/>
          <w:sz w:val="30"/>
          <w:szCs w:val="30"/>
        </w:rPr>
        <w:t>（公寓式办公）</w:t>
      </w:r>
      <w:r>
        <w:rPr>
          <w:rFonts w:hint="eastAsia"/>
          <w:sz w:val="30"/>
          <w:szCs w:val="30"/>
        </w:rPr>
        <w:t>，其中</w:t>
      </w:r>
      <w:r>
        <w:rPr>
          <w:sz w:val="30"/>
          <w:szCs w:val="30"/>
        </w:rPr>
        <w:t>A</w:t>
      </w:r>
      <w:r>
        <w:rPr>
          <w:rFonts w:hint="eastAsia"/>
          <w:sz w:val="30"/>
          <w:szCs w:val="30"/>
        </w:rPr>
        <w:t>座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户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层</w:t>
      </w:r>
      <w:r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</w:rPr>
        <w:t>地上共</w:t>
      </w:r>
      <w:r>
        <w:rPr>
          <w:sz w:val="30"/>
          <w:szCs w:val="30"/>
        </w:rPr>
        <w:t>27</w:t>
      </w:r>
      <w:r>
        <w:rPr>
          <w:rFonts w:hint="eastAsia"/>
          <w:sz w:val="30"/>
          <w:szCs w:val="30"/>
        </w:rPr>
        <w:t>层，建筑面积</w:t>
      </w:r>
      <w:r>
        <w:rPr>
          <w:rFonts w:hint="eastAsia"/>
          <w:sz w:val="30"/>
          <w:szCs w:val="30"/>
        </w:rPr>
        <w:t>3.55</w:t>
      </w:r>
      <w:r>
        <w:rPr>
          <w:rFonts w:hint="eastAsia"/>
          <w:sz w:val="30"/>
          <w:szCs w:val="30"/>
        </w:rPr>
        <w:t>万平米</w:t>
      </w: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含</w:t>
      </w:r>
      <w:r>
        <w:rPr>
          <w:rFonts w:hint="eastAsia"/>
          <w:sz w:val="30"/>
          <w:szCs w:val="30"/>
        </w:rPr>
        <w:t>1-5</w:t>
      </w:r>
      <w:r>
        <w:rPr>
          <w:rFonts w:hint="eastAsia"/>
          <w:sz w:val="30"/>
          <w:szCs w:val="30"/>
        </w:rPr>
        <w:t>层</w:t>
      </w:r>
      <w:r>
        <w:rPr>
          <w:rFonts w:hint="eastAsia"/>
          <w:sz w:val="30"/>
          <w:szCs w:val="30"/>
        </w:rPr>
        <w:t>7500</w:t>
      </w:r>
      <w:r>
        <w:rPr>
          <w:rFonts w:hint="eastAsia"/>
          <w:sz w:val="30"/>
          <w:szCs w:val="30"/>
        </w:rPr>
        <w:t>平米</w:t>
      </w:r>
      <w:r>
        <w:rPr>
          <w:rFonts w:hint="eastAsia"/>
          <w:sz w:val="30"/>
          <w:szCs w:val="30"/>
        </w:rPr>
        <w:t>商业</w:t>
      </w:r>
      <w:r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；</w:t>
      </w:r>
      <w:r>
        <w:rPr>
          <w:rFonts w:hint="eastAsia"/>
          <w:sz w:val="30"/>
          <w:szCs w:val="30"/>
        </w:rPr>
        <w:t>1-</w:t>
      </w: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层</w:t>
      </w:r>
      <w:r>
        <w:rPr>
          <w:rFonts w:hint="eastAsia"/>
          <w:sz w:val="30"/>
          <w:szCs w:val="30"/>
        </w:rPr>
        <w:t>独立</w:t>
      </w:r>
      <w:r>
        <w:rPr>
          <w:rFonts w:hint="eastAsia"/>
          <w:sz w:val="30"/>
          <w:szCs w:val="30"/>
        </w:rPr>
        <w:t>商业</w:t>
      </w:r>
      <w:r>
        <w:rPr>
          <w:rFonts w:hint="eastAsia"/>
          <w:sz w:val="30"/>
          <w:szCs w:val="30"/>
        </w:rPr>
        <w:t>1.9</w:t>
      </w:r>
      <w:r>
        <w:rPr>
          <w:rFonts w:hint="eastAsia"/>
          <w:sz w:val="30"/>
          <w:szCs w:val="30"/>
        </w:rPr>
        <w:t>万</w:t>
      </w:r>
      <w:r>
        <w:rPr>
          <w:rFonts w:hint="eastAsia"/>
          <w:sz w:val="30"/>
          <w:szCs w:val="30"/>
        </w:rPr>
        <w:t>平米</w:t>
      </w:r>
      <w:r>
        <w:rPr>
          <w:rFonts w:hint="eastAsia"/>
          <w:sz w:val="30"/>
          <w:szCs w:val="30"/>
        </w:rPr>
        <w:t>；</w:t>
      </w:r>
      <w:r>
        <w:rPr>
          <w:sz w:val="30"/>
          <w:szCs w:val="30"/>
        </w:rPr>
        <w:t>B</w:t>
      </w:r>
      <w:r>
        <w:rPr>
          <w:rFonts w:hint="eastAsia"/>
          <w:sz w:val="30"/>
          <w:szCs w:val="30"/>
        </w:rPr>
        <w:t>座</w:t>
      </w:r>
      <w:r>
        <w:rPr>
          <w:rFonts w:hint="eastAsia"/>
          <w:sz w:val="30"/>
          <w:szCs w:val="30"/>
        </w:rPr>
        <w:t>(12</w:t>
      </w:r>
      <w:r>
        <w:rPr>
          <w:rFonts w:hint="eastAsia"/>
          <w:sz w:val="30"/>
          <w:szCs w:val="30"/>
        </w:rPr>
        <w:t>户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层</w:t>
      </w:r>
      <w:r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地上共</w:t>
      </w:r>
      <w:r>
        <w:rPr>
          <w:sz w:val="30"/>
          <w:szCs w:val="30"/>
        </w:rPr>
        <w:t>27</w:t>
      </w:r>
      <w:r>
        <w:rPr>
          <w:rFonts w:hint="eastAsia"/>
          <w:sz w:val="30"/>
          <w:szCs w:val="30"/>
        </w:rPr>
        <w:t>层，建筑面积</w:t>
      </w:r>
      <w:r>
        <w:rPr>
          <w:rFonts w:hint="eastAsia"/>
          <w:sz w:val="30"/>
          <w:szCs w:val="30"/>
        </w:rPr>
        <w:t>3.55</w:t>
      </w:r>
      <w:r>
        <w:rPr>
          <w:rFonts w:hint="eastAsia"/>
          <w:sz w:val="30"/>
          <w:szCs w:val="30"/>
        </w:rPr>
        <w:t>万平米</w:t>
      </w: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含</w:t>
      </w:r>
      <w:r>
        <w:rPr>
          <w:rFonts w:hint="eastAsia"/>
          <w:sz w:val="30"/>
          <w:szCs w:val="30"/>
        </w:rPr>
        <w:t>1-5</w:t>
      </w:r>
      <w:r>
        <w:rPr>
          <w:rFonts w:hint="eastAsia"/>
          <w:sz w:val="30"/>
          <w:szCs w:val="30"/>
        </w:rPr>
        <w:t>层</w:t>
      </w:r>
      <w:r>
        <w:rPr>
          <w:rFonts w:hint="eastAsia"/>
          <w:sz w:val="30"/>
          <w:szCs w:val="30"/>
        </w:rPr>
        <w:t>7500</w:t>
      </w:r>
      <w:r>
        <w:rPr>
          <w:rFonts w:hint="eastAsia"/>
          <w:sz w:val="30"/>
          <w:szCs w:val="30"/>
        </w:rPr>
        <w:t>平米</w:t>
      </w:r>
      <w:r>
        <w:rPr>
          <w:rFonts w:hint="eastAsia"/>
          <w:sz w:val="30"/>
          <w:szCs w:val="30"/>
        </w:rPr>
        <w:t>商业</w:t>
      </w:r>
      <w:r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。</w:t>
      </w:r>
      <w:r>
        <w:rPr>
          <w:sz w:val="30"/>
          <w:szCs w:val="30"/>
        </w:rPr>
        <w:t>A</w:t>
      </w:r>
      <w:r>
        <w:rPr>
          <w:rFonts w:hint="eastAsia"/>
          <w:sz w:val="30"/>
          <w:szCs w:val="30"/>
        </w:rPr>
        <w:t>座、</w:t>
      </w:r>
      <w:r>
        <w:rPr>
          <w:sz w:val="30"/>
          <w:szCs w:val="30"/>
        </w:rPr>
        <w:t>B</w:t>
      </w:r>
      <w:r>
        <w:rPr>
          <w:rFonts w:hint="eastAsia"/>
          <w:sz w:val="30"/>
          <w:szCs w:val="30"/>
        </w:rPr>
        <w:t>座写字楼分别配有</w:t>
      </w: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部电梯，五层商业配有</w:t>
      </w: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部电梯，空调按每户独立配置小型中央空调；地上设置停车位约</w:t>
      </w:r>
      <w:r>
        <w:rPr>
          <w:sz w:val="30"/>
          <w:szCs w:val="30"/>
        </w:rPr>
        <w:t>132</w:t>
      </w:r>
      <w:r>
        <w:rPr>
          <w:rFonts w:hint="eastAsia"/>
          <w:sz w:val="30"/>
          <w:szCs w:val="30"/>
        </w:rPr>
        <w:t>个，地下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层约</w:t>
      </w:r>
      <w:r>
        <w:rPr>
          <w:rFonts w:hint="eastAsia"/>
          <w:sz w:val="30"/>
          <w:szCs w:val="30"/>
        </w:rPr>
        <w:t>30</w:t>
      </w:r>
      <w:r>
        <w:rPr>
          <w:sz w:val="30"/>
          <w:szCs w:val="30"/>
        </w:rPr>
        <w:t>000</w:t>
      </w:r>
      <w:r>
        <w:rPr>
          <w:rFonts w:hint="eastAsia"/>
          <w:sz w:val="30"/>
          <w:szCs w:val="30"/>
        </w:rPr>
        <w:t>平方米，地下设停车位</w:t>
      </w:r>
      <w:r>
        <w:rPr>
          <w:sz w:val="30"/>
          <w:szCs w:val="30"/>
        </w:rPr>
        <w:t>1044</w:t>
      </w:r>
      <w:r>
        <w:rPr>
          <w:rFonts w:hint="eastAsia"/>
          <w:sz w:val="30"/>
          <w:szCs w:val="30"/>
        </w:rPr>
        <w:t>个，地上、地下共可停车</w:t>
      </w:r>
      <w:r>
        <w:rPr>
          <w:sz w:val="30"/>
          <w:szCs w:val="30"/>
        </w:rPr>
        <w:t>1176</w:t>
      </w:r>
      <w:r>
        <w:rPr>
          <w:rFonts w:hint="eastAsia"/>
          <w:sz w:val="30"/>
          <w:szCs w:val="30"/>
        </w:rPr>
        <w:t>个。</w:t>
      </w:r>
    </w:p>
    <w:p w:rsidR="00E2763A" w:rsidRDefault="00FC34F3">
      <w:pPr>
        <w:spacing w:line="48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二、项目开发建设情况：</w:t>
      </w:r>
    </w:p>
    <w:p w:rsidR="00E2763A" w:rsidRDefault="00FC34F3">
      <w:pPr>
        <w:spacing w:line="48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项目目前取得开发立项，建设用地规划许可证，签订土地出让合同（已缴纳土地出让金</w:t>
      </w:r>
      <w:r>
        <w:rPr>
          <w:sz w:val="30"/>
          <w:szCs w:val="30"/>
        </w:rPr>
        <w:t>6000</w:t>
      </w:r>
      <w:r>
        <w:rPr>
          <w:rFonts w:hint="eastAsia"/>
          <w:sz w:val="30"/>
          <w:szCs w:val="30"/>
        </w:rPr>
        <w:t>万元），总平面图审批，单体审批，施工图审批等建设专项审批。目前五层商业裙楼</w:t>
      </w:r>
      <w:r>
        <w:rPr>
          <w:rFonts w:hint="eastAsia"/>
          <w:sz w:val="30"/>
          <w:szCs w:val="30"/>
        </w:rPr>
        <w:t>已完成外</w:t>
      </w:r>
      <w:r>
        <w:rPr>
          <w:rFonts w:hint="eastAsia"/>
          <w:sz w:val="30"/>
          <w:szCs w:val="30"/>
        </w:rPr>
        <w:t>立面装修；</w:t>
      </w:r>
      <w:r>
        <w:rPr>
          <w:sz w:val="30"/>
          <w:szCs w:val="30"/>
        </w:rPr>
        <w:t>A</w:t>
      </w:r>
      <w:r>
        <w:rPr>
          <w:rFonts w:hint="eastAsia"/>
          <w:sz w:val="30"/>
          <w:szCs w:val="30"/>
        </w:rPr>
        <w:t>座写字楼主体施工</w:t>
      </w:r>
      <w:r>
        <w:rPr>
          <w:rFonts w:hint="eastAsia"/>
          <w:sz w:val="30"/>
          <w:szCs w:val="30"/>
        </w:rPr>
        <w:t>已完成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正在进行外立面装修</w:t>
      </w:r>
      <w:r>
        <w:rPr>
          <w:rFonts w:hint="eastAsia"/>
          <w:sz w:val="30"/>
          <w:szCs w:val="30"/>
        </w:rPr>
        <w:t>；</w:t>
      </w:r>
      <w:r>
        <w:rPr>
          <w:sz w:val="30"/>
          <w:szCs w:val="30"/>
        </w:rPr>
        <w:t>B</w:t>
      </w:r>
      <w:r>
        <w:rPr>
          <w:rFonts w:hint="eastAsia"/>
          <w:sz w:val="30"/>
          <w:szCs w:val="30"/>
        </w:rPr>
        <w:t>座写字楼主体</w:t>
      </w:r>
      <w:r>
        <w:rPr>
          <w:rFonts w:hint="eastAsia"/>
          <w:sz w:val="30"/>
          <w:szCs w:val="30"/>
        </w:rPr>
        <w:t>已完成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外立面装修基本完成；安装工程有序展开，</w:t>
      </w:r>
      <w:r>
        <w:rPr>
          <w:rFonts w:hint="eastAsia"/>
          <w:sz w:val="30"/>
          <w:szCs w:val="30"/>
        </w:rPr>
        <w:lastRenderedPageBreak/>
        <w:t>整体</w:t>
      </w:r>
      <w:r>
        <w:rPr>
          <w:rFonts w:hint="eastAsia"/>
          <w:sz w:val="30"/>
          <w:szCs w:val="30"/>
        </w:rPr>
        <w:t>工程计划</w:t>
      </w:r>
      <w:r>
        <w:rPr>
          <w:sz w:val="30"/>
          <w:szCs w:val="30"/>
        </w:rPr>
        <w:t>20</w:t>
      </w: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底竣工。</w:t>
      </w:r>
    </w:p>
    <w:p w:rsidR="00E2763A" w:rsidRDefault="00FC34F3">
      <w:pPr>
        <w:numPr>
          <w:ilvl w:val="0"/>
          <w:numId w:val="1"/>
        </w:numPr>
        <w:spacing w:line="48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目前项目投入情况：</w:t>
      </w:r>
    </w:p>
    <w:p w:rsidR="00E2763A" w:rsidRDefault="00FC34F3">
      <w:pPr>
        <w:spacing w:line="480" w:lineRule="auto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目前项目工程已经投入八个亿，还需要</w:t>
      </w:r>
      <w:r>
        <w:rPr>
          <w:rFonts w:hint="eastAsia"/>
          <w:sz w:val="30"/>
          <w:szCs w:val="30"/>
        </w:rPr>
        <w:t>后续资金</w:t>
      </w:r>
      <w:r>
        <w:rPr>
          <w:rFonts w:hint="eastAsia"/>
          <w:sz w:val="30"/>
          <w:szCs w:val="30"/>
        </w:rPr>
        <w:t>完成整个项目的内外装修、安装</w:t>
      </w:r>
      <w:r>
        <w:rPr>
          <w:rFonts w:hint="eastAsia"/>
          <w:sz w:val="30"/>
          <w:szCs w:val="30"/>
        </w:rPr>
        <w:t>等后续工程</w:t>
      </w:r>
      <w:r>
        <w:rPr>
          <w:rFonts w:hint="eastAsia"/>
          <w:sz w:val="30"/>
          <w:szCs w:val="30"/>
        </w:rPr>
        <w:t>，即可以达到使用状态。</w:t>
      </w:r>
    </w:p>
    <w:p w:rsidR="00E2763A" w:rsidRDefault="00E2763A">
      <w:pPr>
        <w:spacing w:line="480" w:lineRule="auto"/>
        <w:ind w:firstLine="600"/>
        <w:rPr>
          <w:sz w:val="30"/>
          <w:szCs w:val="30"/>
        </w:rPr>
      </w:pPr>
    </w:p>
    <w:p w:rsidR="00E2763A" w:rsidRDefault="00E2763A">
      <w:pPr>
        <w:spacing w:line="480" w:lineRule="auto"/>
        <w:ind w:firstLine="600"/>
        <w:rPr>
          <w:sz w:val="30"/>
          <w:szCs w:val="30"/>
        </w:rPr>
      </w:pPr>
    </w:p>
    <w:p w:rsidR="00E2763A" w:rsidRDefault="00E2763A">
      <w:pPr>
        <w:spacing w:line="480" w:lineRule="auto"/>
        <w:ind w:firstLine="600"/>
        <w:rPr>
          <w:sz w:val="30"/>
          <w:szCs w:val="30"/>
        </w:rPr>
      </w:pPr>
    </w:p>
    <w:p w:rsidR="00E2763A" w:rsidRDefault="00E2763A">
      <w:pPr>
        <w:spacing w:line="480" w:lineRule="auto"/>
        <w:ind w:firstLine="600"/>
        <w:rPr>
          <w:sz w:val="30"/>
          <w:szCs w:val="30"/>
        </w:rPr>
      </w:pPr>
    </w:p>
    <w:p w:rsidR="00E2763A" w:rsidRDefault="00E2763A">
      <w:pPr>
        <w:spacing w:line="480" w:lineRule="auto"/>
        <w:ind w:firstLine="600"/>
        <w:rPr>
          <w:sz w:val="30"/>
          <w:szCs w:val="30"/>
        </w:rPr>
      </w:pPr>
    </w:p>
    <w:p w:rsidR="00E2763A" w:rsidRDefault="00E2763A">
      <w:pPr>
        <w:spacing w:line="480" w:lineRule="auto"/>
        <w:ind w:firstLine="600"/>
        <w:rPr>
          <w:sz w:val="30"/>
          <w:szCs w:val="30"/>
        </w:rPr>
      </w:pPr>
    </w:p>
    <w:p w:rsidR="00E2763A" w:rsidRDefault="00FC34F3">
      <w:pPr>
        <w:spacing w:line="480" w:lineRule="auto"/>
        <w:ind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陕西金苑房地产开发有限公司</w:t>
      </w:r>
    </w:p>
    <w:p w:rsidR="00E2763A" w:rsidRDefault="00FC34F3">
      <w:pPr>
        <w:wordWrap w:val="0"/>
        <w:spacing w:line="480" w:lineRule="auto"/>
        <w:ind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      </w:t>
      </w:r>
    </w:p>
    <w:p w:rsidR="00E2763A" w:rsidRDefault="00E2763A"/>
    <w:p w:rsidR="00FC34F3" w:rsidRDefault="00FC34F3"/>
    <w:p w:rsidR="00FC34F3" w:rsidRDefault="00FC34F3"/>
    <w:p w:rsidR="00FC34F3" w:rsidRDefault="00FC34F3" w:rsidP="00FC34F3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商业五层</w:t>
      </w:r>
      <w:r>
        <w:rPr>
          <w:rFonts w:hint="eastAsia"/>
        </w:rPr>
        <w:t xml:space="preserve">  </w:t>
      </w:r>
      <w:r>
        <w:rPr>
          <w:rFonts w:hint="eastAsia"/>
        </w:rPr>
        <w:t>：每层</w:t>
      </w:r>
      <w:r>
        <w:rPr>
          <w:rFonts w:hint="eastAsia"/>
        </w:rPr>
        <w:t>7000</w:t>
      </w:r>
      <w:r>
        <w:rPr>
          <w:rFonts w:hint="eastAsia"/>
        </w:rPr>
        <w:t>平方，共计</w:t>
      </w:r>
      <w:r>
        <w:rPr>
          <w:rFonts w:hint="eastAsia"/>
        </w:rPr>
        <w:t>35000</w:t>
      </w:r>
      <w:r>
        <w:rPr>
          <w:rFonts w:hint="eastAsia"/>
        </w:rPr>
        <w:t>平方。</w:t>
      </w:r>
    </w:p>
    <w:p w:rsidR="00FC34F3" w:rsidRDefault="00FC34F3" w:rsidP="00FC34F3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公寓</w:t>
      </w:r>
      <w:r>
        <w:rPr>
          <w:rFonts w:hint="eastAsia"/>
        </w:rPr>
        <w:t>22</w:t>
      </w:r>
      <w:bookmarkStart w:id="0" w:name="_GoBack"/>
      <w:bookmarkEnd w:id="0"/>
      <w:r>
        <w:rPr>
          <w:rFonts w:hint="eastAsia"/>
        </w:rPr>
        <w:t>层：每层</w:t>
      </w:r>
      <w:r>
        <w:rPr>
          <w:rFonts w:hint="eastAsia"/>
        </w:rPr>
        <w:t>1300</w:t>
      </w:r>
      <w:r>
        <w:rPr>
          <w:rFonts w:hint="eastAsia"/>
        </w:rPr>
        <w:t>平方，共计</w:t>
      </w:r>
      <w:r>
        <w:rPr>
          <w:rFonts w:hint="eastAsia"/>
        </w:rPr>
        <w:t>28000</w:t>
      </w:r>
      <w:r>
        <w:rPr>
          <w:rFonts w:hint="eastAsia"/>
        </w:rPr>
        <w:t>平方。</w:t>
      </w:r>
    </w:p>
    <w:p w:rsidR="00FC34F3" w:rsidRDefault="00FC34F3" w:rsidP="00FC34F3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写字楼</w:t>
      </w:r>
      <w:r>
        <w:rPr>
          <w:rFonts w:hint="eastAsia"/>
        </w:rPr>
        <w:t>22</w:t>
      </w:r>
      <w:r>
        <w:rPr>
          <w:rFonts w:hint="eastAsia"/>
        </w:rPr>
        <w:t>层：共计</w:t>
      </w:r>
      <w:r>
        <w:rPr>
          <w:rFonts w:hint="eastAsia"/>
        </w:rPr>
        <w:t>28000</w:t>
      </w:r>
      <w:r>
        <w:rPr>
          <w:rFonts w:hint="eastAsia"/>
        </w:rPr>
        <w:t>平方。</w:t>
      </w:r>
    </w:p>
    <w:p w:rsidR="00FC34F3" w:rsidRDefault="00FC34F3" w:rsidP="00FC34F3">
      <w:r>
        <w:rPr>
          <w:rFonts w:hint="eastAsia"/>
        </w:rPr>
        <w:t>地下车库</w:t>
      </w:r>
      <w:r>
        <w:rPr>
          <w:rFonts w:hint="eastAsia"/>
        </w:rPr>
        <w:t>2</w:t>
      </w:r>
      <w:r>
        <w:rPr>
          <w:rFonts w:hint="eastAsia"/>
        </w:rPr>
        <w:t>层：共计</w:t>
      </w:r>
      <w:r>
        <w:rPr>
          <w:rFonts w:hint="eastAsia"/>
        </w:rPr>
        <w:t>30000</w:t>
      </w:r>
      <w:r>
        <w:rPr>
          <w:rFonts w:hint="eastAsia"/>
        </w:rPr>
        <w:t>平方。</w:t>
      </w:r>
    </w:p>
    <w:p w:rsidR="00FC34F3" w:rsidRDefault="00FC34F3"/>
    <w:p w:rsidR="00FC34F3" w:rsidRDefault="00FC34F3">
      <w:pPr>
        <w:rPr>
          <w:rFonts w:hint="eastAsia"/>
        </w:rPr>
      </w:pPr>
    </w:p>
    <w:sectPr w:rsidR="00FC3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497D3"/>
    <w:multiLevelType w:val="singleLevel"/>
    <w:tmpl w:val="594497D3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1A74768"/>
    <w:rsid w:val="00024830"/>
    <w:rsid w:val="000C3BF5"/>
    <w:rsid w:val="001A0C16"/>
    <w:rsid w:val="002513D9"/>
    <w:rsid w:val="00352E16"/>
    <w:rsid w:val="00383C7B"/>
    <w:rsid w:val="004373C6"/>
    <w:rsid w:val="004752B1"/>
    <w:rsid w:val="0049186D"/>
    <w:rsid w:val="00606982"/>
    <w:rsid w:val="006C2B4A"/>
    <w:rsid w:val="006D39C3"/>
    <w:rsid w:val="00761187"/>
    <w:rsid w:val="0079418E"/>
    <w:rsid w:val="00930245"/>
    <w:rsid w:val="00AE3342"/>
    <w:rsid w:val="00B20FDC"/>
    <w:rsid w:val="00D71A80"/>
    <w:rsid w:val="00E2763A"/>
    <w:rsid w:val="00E60AA4"/>
    <w:rsid w:val="00EC7CE3"/>
    <w:rsid w:val="00F02802"/>
    <w:rsid w:val="00F22A88"/>
    <w:rsid w:val="00F3779D"/>
    <w:rsid w:val="00F54D21"/>
    <w:rsid w:val="00FC34F3"/>
    <w:rsid w:val="026A3D4D"/>
    <w:rsid w:val="0E1C3F7A"/>
    <w:rsid w:val="0EE24D97"/>
    <w:rsid w:val="12693061"/>
    <w:rsid w:val="14AA5495"/>
    <w:rsid w:val="14D7487B"/>
    <w:rsid w:val="19DE343E"/>
    <w:rsid w:val="1C3F77B5"/>
    <w:rsid w:val="1D4B346C"/>
    <w:rsid w:val="1E767533"/>
    <w:rsid w:val="250C4613"/>
    <w:rsid w:val="26A6222B"/>
    <w:rsid w:val="2781570B"/>
    <w:rsid w:val="30844E19"/>
    <w:rsid w:val="31A74768"/>
    <w:rsid w:val="32265427"/>
    <w:rsid w:val="411476A5"/>
    <w:rsid w:val="5A495CE1"/>
    <w:rsid w:val="5B4F6196"/>
    <w:rsid w:val="5EA806C8"/>
    <w:rsid w:val="660533DB"/>
    <w:rsid w:val="66D037BE"/>
    <w:rsid w:val="6B4B2625"/>
    <w:rsid w:val="6CFA70DA"/>
    <w:rsid w:val="71E42691"/>
    <w:rsid w:val="734C4B27"/>
    <w:rsid w:val="758136A5"/>
    <w:rsid w:val="7991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6310830-EEAF-4CF6-8C6A-E790FDEA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lxf</cp:lastModifiedBy>
  <cp:revision>8</cp:revision>
  <cp:lastPrinted>2019-04-18T10:04:00Z</cp:lastPrinted>
  <dcterms:created xsi:type="dcterms:W3CDTF">2017-06-16T08:27:00Z</dcterms:created>
  <dcterms:modified xsi:type="dcterms:W3CDTF">2020-08-28T04:54:00Z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