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66725" w14:textId="77777777" w:rsidR="003811C3" w:rsidRPr="002A2DB5" w:rsidRDefault="003811C3" w:rsidP="002A2DB5">
      <w:pPr>
        <w:spacing w:line="360" w:lineRule="auto"/>
        <w:jc w:val="center"/>
        <w:rPr>
          <w:rFonts w:ascii="FangSong" w:eastAsia="FangSong" w:hAnsi="FangSong" w:cstheme="majorEastAsia"/>
          <w:b/>
          <w:bCs/>
          <w:color w:val="0D0D0D" w:themeColor="text1" w:themeTint="F2"/>
          <w:sz w:val="56"/>
          <w:szCs w:val="144"/>
        </w:rPr>
      </w:pPr>
    </w:p>
    <w:p w14:paraId="76EFA5DE" w14:textId="77777777" w:rsidR="003811C3" w:rsidRPr="002A2DB5" w:rsidRDefault="003811C3" w:rsidP="002A2DB5">
      <w:pPr>
        <w:spacing w:line="360" w:lineRule="auto"/>
        <w:jc w:val="center"/>
        <w:rPr>
          <w:rFonts w:ascii="FangSong" w:eastAsia="FangSong" w:hAnsi="FangSong" w:cstheme="majorEastAsia"/>
          <w:b/>
          <w:bCs/>
          <w:color w:val="0D0D0D" w:themeColor="text1" w:themeTint="F2"/>
          <w:sz w:val="120"/>
          <w:szCs w:val="120"/>
        </w:rPr>
      </w:pPr>
    </w:p>
    <w:p w14:paraId="52B8A09A" w14:textId="4BD41C7D" w:rsidR="0043006F" w:rsidRPr="002A2DB5" w:rsidRDefault="0043006F" w:rsidP="002A2DB5">
      <w:pPr>
        <w:spacing w:line="360" w:lineRule="auto"/>
        <w:jc w:val="center"/>
        <w:rPr>
          <w:rFonts w:ascii="FangSong" w:eastAsia="FangSong" w:hAnsi="FangSong" w:cstheme="majorEastAsia"/>
          <w:b/>
          <w:bCs/>
          <w:color w:val="0D0D0D" w:themeColor="text1" w:themeTint="F2"/>
          <w:sz w:val="120"/>
          <w:szCs w:val="120"/>
        </w:rPr>
      </w:pPr>
      <w:r w:rsidRPr="002A2DB5">
        <w:rPr>
          <w:rFonts w:ascii="FangSong" w:eastAsia="FangSong" w:hAnsi="FangSong" w:cstheme="majorEastAsia"/>
          <w:b/>
          <w:bCs/>
          <w:color w:val="0D0D0D" w:themeColor="text1" w:themeTint="F2"/>
          <w:sz w:val="120"/>
          <w:szCs w:val="120"/>
        </w:rPr>
        <w:t>金岸康城项目</w:t>
      </w:r>
    </w:p>
    <w:p w14:paraId="62BB3506" w14:textId="4736D5FB" w:rsidR="003811C3" w:rsidRPr="002A2DB5" w:rsidRDefault="003811C3" w:rsidP="002A2DB5">
      <w:pPr>
        <w:spacing w:line="360" w:lineRule="auto"/>
        <w:jc w:val="center"/>
        <w:rPr>
          <w:rFonts w:ascii="FangSong" w:eastAsia="FangSong" w:hAnsi="FangSong" w:cstheme="majorEastAsia"/>
          <w:b/>
          <w:bCs/>
          <w:color w:val="0D0D0D" w:themeColor="text1" w:themeTint="F2"/>
          <w:sz w:val="120"/>
          <w:szCs w:val="120"/>
        </w:rPr>
      </w:pPr>
      <w:r w:rsidRPr="002A2DB5">
        <w:rPr>
          <w:rFonts w:ascii="FangSong" w:eastAsia="FangSong" w:hAnsi="FangSong" w:cstheme="majorEastAsia" w:hint="eastAsia"/>
          <w:b/>
          <w:bCs/>
          <w:color w:val="0D0D0D" w:themeColor="text1" w:themeTint="F2"/>
          <w:sz w:val="120"/>
          <w:szCs w:val="120"/>
        </w:rPr>
        <w:t>商业计划书</w:t>
      </w:r>
    </w:p>
    <w:p w14:paraId="42EE1F4A" w14:textId="77777777" w:rsidR="003811C3" w:rsidRPr="002A2DB5" w:rsidRDefault="003811C3" w:rsidP="002A2DB5">
      <w:pPr>
        <w:spacing w:line="360" w:lineRule="auto"/>
        <w:jc w:val="right"/>
        <w:rPr>
          <w:rFonts w:ascii="FangSong" w:eastAsia="FangSong" w:hAnsi="FangSong" w:cstheme="majorEastAsia"/>
          <w:b/>
          <w:bCs/>
          <w:color w:val="0D0D0D" w:themeColor="text1" w:themeTint="F2"/>
          <w:sz w:val="56"/>
          <w:szCs w:val="144"/>
        </w:rPr>
      </w:pPr>
      <w:r w:rsidRPr="002A2DB5">
        <w:rPr>
          <w:rFonts w:ascii="FangSong" w:eastAsia="FangSong" w:hAnsi="FangSong" w:cstheme="majorEastAsia" w:hint="eastAsia"/>
          <w:b/>
          <w:bCs/>
          <w:color w:val="0D0D0D" w:themeColor="text1" w:themeTint="F2"/>
          <w:sz w:val="56"/>
          <w:szCs w:val="144"/>
        </w:rPr>
        <w:t xml:space="preserve"> </w:t>
      </w:r>
    </w:p>
    <w:p w14:paraId="44333A3E" w14:textId="77777777" w:rsidR="003811C3" w:rsidRPr="002A2DB5" w:rsidRDefault="003811C3" w:rsidP="002A2DB5">
      <w:pPr>
        <w:spacing w:line="360" w:lineRule="auto"/>
        <w:jc w:val="right"/>
        <w:rPr>
          <w:rFonts w:ascii="FangSong" w:eastAsia="FangSong" w:hAnsi="FangSong" w:cstheme="majorEastAsia"/>
          <w:color w:val="0D0D0D" w:themeColor="text1" w:themeTint="F2"/>
          <w:sz w:val="32"/>
          <w:szCs w:val="44"/>
        </w:rPr>
      </w:pPr>
    </w:p>
    <w:p w14:paraId="7C4E26A0" w14:textId="0B9D0187" w:rsidR="003811C3" w:rsidRPr="002A2DB5" w:rsidRDefault="003811C3" w:rsidP="002A2DB5">
      <w:pPr>
        <w:spacing w:line="360" w:lineRule="auto"/>
        <w:jc w:val="center"/>
        <w:rPr>
          <w:rFonts w:ascii="FangSong" w:eastAsia="FangSong" w:hAnsi="FangSong" w:cstheme="majorEastAsia"/>
          <w:color w:val="0D0D0D" w:themeColor="text1" w:themeTint="F2"/>
          <w:sz w:val="44"/>
          <w:szCs w:val="44"/>
        </w:rPr>
      </w:pPr>
      <w:r w:rsidRPr="002A2DB5">
        <w:rPr>
          <w:rFonts w:ascii="FangSong" w:eastAsia="FangSong" w:hAnsi="FangSong" w:cstheme="majorEastAsia" w:hint="eastAsia"/>
          <w:color w:val="0D0D0D" w:themeColor="text1" w:themeTint="F2"/>
          <w:sz w:val="44"/>
          <w:szCs w:val="44"/>
        </w:rPr>
        <w:t>【</w:t>
      </w:r>
      <w:r w:rsidR="00502E93" w:rsidRPr="002A2DB5">
        <w:rPr>
          <w:rFonts w:ascii="FangSong" w:eastAsia="FangSong" w:hAnsi="FangSong" w:cstheme="majorEastAsia"/>
          <w:color w:val="0D0D0D" w:themeColor="text1" w:themeTint="F2"/>
          <w:sz w:val="44"/>
          <w:szCs w:val="44"/>
        </w:rPr>
        <w:t>中滨城（天津）置业有限公司</w:t>
      </w:r>
      <w:r w:rsidRPr="002A2DB5">
        <w:rPr>
          <w:rFonts w:ascii="FangSong" w:eastAsia="FangSong" w:hAnsi="FangSong" w:cstheme="majorEastAsia" w:hint="eastAsia"/>
          <w:color w:val="0D0D0D" w:themeColor="text1" w:themeTint="F2"/>
          <w:sz w:val="44"/>
          <w:szCs w:val="44"/>
        </w:rPr>
        <w:t>】</w:t>
      </w:r>
    </w:p>
    <w:p w14:paraId="5D2CBA9D" w14:textId="2150400F" w:rsidR="003811C3" w:rsidRPr="002A2DB5" w:rsidRDefault="003811C3" w:rsidP="002A2DB5">
      <w:pPr>
        <w:spacing w:line="360" w:lineRule="auto"/>
        <w:jc w:val="center"/>
        <w:rPr>
          <w:rFonts w:ascii="FangSong" w:eastAsia="FangSong" w:hAnsi="FangSong" w:cstheme="majorEastAsia"/>
          <w:color w:val="0D0D0D" w:themeColor="text1" w:themeTint="F2"/>
          <w:sz w:val="28"/>
          <w:szCs w:val="44"/>
        </w:rPr>
      </w:pPr>
      <w:r w:rsidRPr="002A2DB5">
        <w:rPr>
          <w:rFonts w:ascii="FangSong" w:eastAsia="FangSong" w:hAnsi="FangSong" w:cstheme="majorEastAsia" w:hint="eastAsia"/>
          <w:color w:val="0D0D0D" w:themeColor="text1" w:themeTint="F2"/>
          <w:sz w:val="28"/>
          <w:szCs w:val="44"/>
        </w:rPr>
        <w:t>二零一九年十</w:t>
      </w:r>
      <w:r w:rsidR="00502E93" w:rsidRPr="002A2DB5">
        <w:rPr>
          <w:rFonts w:ascii="FangSong" w:eastAsia="FangSong" w:hAnsi="FangSong" w:cstheme="majorEastAsia" w:hint="eastAsia"/>
          <w:color w:val="0D0D0D" w:themeColor="text1" w:themeTint="F2"/>
          <w:sz w:val="28"/>
          <w:szCs w:val="44"/>
        </w:rPr>
        <w:t>一</w:t>
      </w:r>
      <w:r w:rsidRPr="002A2DB5">
        <w:rPr>
          <w:rFonts w:ascii="FangSong" w:eastAsia="FangSong" w:hAnsi="FangSong" w:cstheme="majorEastAsia" w:hint="eastAsia"/>
          <w:color w:val="0D0D0D" w:themeColor="text1" w:themeTint="F2"/>
          <w:sz w:val="28"/>
          <w:szCs w:val="44"/>
        </w:rPr>
        <w:t>月</w:t>
      </w:r>
    </w:p>
    <w:p w14:paraId="180007DB" w14:textId="77777777" w:rsidR="003811C3" w:rsidRPr="002A2DB5" w:rsidRDefault="003811C3" w:rsidP="002A2DB5">
      <w:pPr>
        <w:spacing w:line="360" w:lineRule="auto"/>
        <w:jc w:val="right"/>
        <w:rPr>
          <w:rFonts w:ascii="FangSong" w:eastAsia="FangSong" w:hAnsi="FangSong" w:cstheme="majorEastAsia"/>
          <w:color w:val="0D0D0D" w:themeColor="text1" w:themeTint="F2"/>
          <w:sz w:val="32"/>
          <w:szCs w:val="44"/>
        </w:rPr>
      </w:pPr>
    </w:p>
    <w:p w14:paraId="543A28D6" w14:textId="77777777" w:rsidR="003811C3" w:rsidRPr="002A2DB5" w:rsidRDefault="003811C3" w:rsidP="002A2DB5">
      <w:pPr>
        <w:spacing w:line="360" w:lineRule="auto"/>
        <w:rPr>
          <w:rFonts w:ascii="FangSong" w:eastAsia="FangSong" w:hAnsi="FangSong" w:cstheme="majorEastAsia"/>
          <w:color w:val="0D0D0D" w:themeColor="text1" w:themeTint="F2"/>
          <w:sz w:val="32"/>
          <w:szCs w:val="44"/>
        </w:rPr>
      </w:pPr>
      <w:r w:rsidRPr="002A2DB5">
        <w:rPr>
          <w:rFonts w:ascii="FangSong" w:eastAsia="FangSong" w:hAnsi="FangSong" w:cstheme="majorEastAsia" w:hint="eastAsia"/>
          <w:color w:val="0D0D0D" w:themeColor="text1" w:themeTint="F2"/>
          <w:sz w:val="32"/>
          <w:szCs w:val="44"/>
        </w:rPr>
        <w:t xml:space="preserve">           </w:t>
      </w:r>
    </w:p>
    <w:p w14:paraId="3EED46E4" w14:textId="77777777" w:rsidR="003811C3" w:rsidRPr="002A2DB5" w:rsidRDefault="003811C3" w:rsidP="002A2DB5">
      <w:pPr>
        <w:spacing w:line="360" w:lineRule="auto"/>
        <w:rPr>
          <w:rFonts w:ascii="FangSong" w:eastAsia="FangSong" w:hAnsi="FangSong" w:cstheme="majorEastAsia"/>
          <w:color w:val="0D0D0D" w:themeColor="text1" w:themeTint="F2"/>
          <w:sz w:val="32"/>
          <w:szCs w:val="44"/>
        </w:rPr>
      </w:pPr>
    </w:p>
    <w:p w14:paraId="2FC57C2F" w14:textId="77777777" w:rsidR="003811C3" w:rsidRPr="002A2DB5" w:rsidRDefault="003811C3" w:rsidP="002A2DB5">
      <w:pPr>
        <w:spacing w:line="360" w:lineRule="auto"/>
        <w:rPr>
          <w:rFonts w:ascii="FangSong" w:eastAsia="FangSong" w:hAnsi="FangSong" w:cstheme="majorEastAsia"/>
          <w:color w:val="0D0D0D" w:themeColor="text1" w:themeTint="F2"/>
          <w:sz w:val="32"/>
          <w:szCs w:val="44"/>
        </w:rPr>
      </w:pPr>
      <w:r w:rsidRPr="002A2DB5">
        <w:rPr>
          <w:rFonts w:ascii="FangSong" w:eastAsia="FangSong" w:hAnsi="FangSong" w:cstheme="majorEastAsia" w:hint="eastAsia"/>
          <w:color w:val="0D0D0D" w:themeColor="text1" w:themeTint="F2"/>
          <w:sz w:val="32"/>
          <w:szCs w:val="44"/>
        </w:rPr>
        <w:t xml:space="preserve">           联 系 人: </w:t>
      </w:r>
      <w:r w:rsidRPr="002A2DB5">
        <w:rPr>
          <w:rFonts w:ascii="FangSong" w:eastAsia="FangSong" w:hAnsi="FangSong" w:cstheme="majorEastAsia" w:hint="eastAsia"/>
          <w:color w:val="0D0D0D" w:themeColor="text1" w:themeTint="F2"/>
          <w:sz w:val="32"/>
          <w:szCs w:val="44"/>
          <w:u w:val="single"/>
        </w:rPr>
        <w:t xml:space="preserve">                     </w:t>
      </w:r>
    </w:p>
    <w:p w14:paraId="4639EB5E" w14:textId="77777777" w:rsidR="003811C3" w:rsidRPr="002A2DB5" w:rsidRDefault="003811C3" w:rsidP="002A2DB5">
      <w:pPr>
        <w:spacing w:line="360" w:lineRule="auto"/>
        <w:rPr>
          <w:rFonts w:ascii="FangSong" w:eastAsia="FangSong" w:hAnsi="FangSong" w:cstheme="majorEastAsia"/>
          <w:color w:val="0D0D0D" w:themeColor="text1" w:themeTint="F2"/>
          <w:sz w:val="32"/>
          <w:szCs w:val="44"/>
          <w:u w:val="single"/>
        </w:rPr>
      </w:pPr>
      <w:r w:rsidRPr="002A2DB5">
        <w:rPr>
          <w:rFonts w:ascii="FangSong" w:eastAsia="FangSong" w:hAnsi="FangSong" w:cstheme="majorEastAsia" w:hint="eastAsia"/>
          <w:color w:val="0D0D0D" w:themeColor="text1" w:themeTint="F2"/>
          <w:sz w:val="32"/>
          <w:szCs w:val="44"/>
        </w:rPr>
        <w:t xml:space="preserve">           联系电话: </w:t>
      </w:r>
      <w:r w:rsidRPr="002A2DB5">
        <w:rPr>
          <w:rFonts w:ascii="FangSong" w:eastAsia="FangSong" w:hAnsi="FangSong" w:cstheme="majorEastAsia" w:hint="eastAsia"/>
          <w:color w:val="0D0D0D" w:themeColor="text1" w:themeTint="F2"/>
          <w:sz w:val="32"/>
          <w:szCs w:val="44"/>
          <w:u w:val="single"/>
        </w:rPr>
        <w:t xml:space="preserve">                     </w:t>
      </w:r>
    </w:p>
    <w:p w14:paraId="37075C40" w14:textId="77777777" w:rsidR="003811C3" w:rsidRPr="002A2DB5" w:rsidRDefault="003811C3" w:rsidP="002A2DB5">
      <w:pPr>
        <w:spacing w:line="360" w:lineRule="auto"/>
        <w:rPr>
          <w:rFonts w:ascii="FangSong" w:eastAsia="FangSong" w:hAnsi="FangSong" w:cstheme="majorEastAsia"/>
          <w:color w:val="0D0D0D" w:themeColor="text1" w:themeTint="F2"/>
          <w:sz w:val="32"/>
          <w:szCs w:val="44"/>
        </w:rPr>
      </w:pPr>
      <w:r w:rsidRPr="002A2DB5">
        <w:rPr>
          <w:rFonts w:ascii="FangSong" w:eastAsia="FangSong" w:hAnsi="FangSong" w:cstheme="majorEastAsia" w:hint="eastAsia"/>
          <w:color w:val="0D0D0D" w:themeColor="text1" w:themeTint="F2"/>
          <w:sz w:val="32"/>
          <w:szCs w:val="44"/>
        </w:rPr>
        <w:t xml:space="preserve">           邮箱地址: </w:t>
      </w:r>
      <w:r w:rsidRPr="002A2DB5">
        <w:rPr>
          <w:rFonts w:ascii="FangSong" w:eastAsia="FangSong" w:hAnsi="FangSong" w:cstheme="majorEastAsia" w:hint="eastAsia"/>
          <w:color w:val="0D0D0D" w:themeColor="text1" w:themeTint="F2"/>
          <w:sz w:val="32"/>
          <w:szCs w:val="44"/>
          <w:u w:val="single"/>
        </w:rPr>
        <w:t xml:space="preserve">                     </w:t>
      </w:r>
    </w:p>
    <w:p w14:paraId="78958619" w14:textId="2355C1B3" w:rsidR="003811C3" w:rsidRDefault="003811C3" w:rsidP="002A2DB5">
      <w:pPr>
        <w:spacing w:line="360" w:lineRule="auto"/>
        <w:rPr>
          <w:rFonts w:ascii="FangSong" w:eastAsia="FangSong" w:hAnsi="FangSong" w:cstheme="majorEastAsia"/>
          <w:color w:val="0D0D0D" w:themeColor="text1" w:themeTint="F2"/>
          <w:sz w:val="32"/>
          <w:szCs w:val="44"/>
          <w:u w:val="single"/>
        </w:rPr>
      </w:pPr>
      <w:r w:rsidRPr="002A2DB5">
        <w:rPr>
          <w:rFonts w:ascii="FangSong" w:eastAsia="FangSong" w:hAnsi="FangSong" w:cstheme="majorEastAsia" w:hint="eastAsia"/>
          <w:color w:val="0D0D0D" w:themeColor="text1" w:themeTint="F2"/>
          <w:sz w:val="32"/>
          <w:szCs w:val="44"/>
        </w:rPr>
        <w:t xml:space="preserve">           传真地址: </w:t>
      </w:r>
      <w:r w:rsidRPr="002A2DB5">
        <w:rPr>
          <w:rFonts w:ascii="FangSong" w:eastAsia="FangSong" w:hAnsi="FangSong" w:cstheme="majorEastAsia" w:hint="eastAsia"/>
          <w:color w:val="0D0D0D" w:themeColor="text1" w:themeTint="F2"/>
          <w:sz w:val="32"/>
          <w:szCs w:val="44"/>
          <w:u w:val="single"/>
        </w:rPr>
        <w:t xml:space="preserve">                     </w:t>
      </w:r>
    </w:p>
    <w:p w14:paraId="7F8E3798" w14:textId="77777777" w:rsidR="002A2DB5" w:rsidRPr="002A2DB5" w:rsidRDefault="002A2DB5" w:rsidP="002A2DB5">
      <w:pPr>
        <w:spacing w:line="360" w:lineRule="auto"/>
        <w:rPr>
          <w:rFonts w:ascii="FangSong" w:eastAsia="FangSong" w:hAnsi="FangSong" w:cstheme="majorEastAsia"/>
          <w:color w:val="0D0D0D" w:themeColor="text1" w:themeTint="F2"/>
          <w:sz w:val="36"/>
          <w:szCs w:val="44"/>
          <w:u w:val="single"/>
        </w:rPr>
      </w:pPr>
    </w:p>
    <w:p w14:paraId="5EBC4A02" w14:textId="77777777" w:rsidR="00911A10" w:rsidRDefault="0039786C">
      <w:pPr>
        <w:pStyle w:val="11"/>
        <w:tabs>
          <w:tab w:val="right" w:leader="dot" w:pos="8290"/>
        </w:tabs>
        <w:rPr>
          <w:noProof/>
        </w:rPr>
      </w:pPr>
      <w:r w:rsidRPr="002A2DB5">
        <w:rPr>
          <w:rFonts w:ascii="FangSong" w:eastAsia="FangSong" w:hAnsi="FangSong"/>
          <w:highlight w:val="yellow"/>
        </w:rPr>
        <w:lastRenderedPageBreak/>
        <w:fldChar w:fldCharType="begin"/>
      </w:r>
      <w:r w:rsidRPr="002A2DB5">
        <w:rPr>
          <w:rFonts w:ascii="FangSong" w:eastAsia="FangSong" w:hAnsi="FangSong"/>
          <w:highlight w:val="yellow"/>
        </w:rPr>
        <w:instrText xml:space="preserve"> </w:instrText>
      </w:r>
      <w:r w:rsidRPr="002A2DB5">
        <w:rPr>
          <w:rFonts w:ascii="FangSong" w:eastAsia="FangSong" w:hAnsi="FangSong" w:hint="eastAsia"/>
          <w:highlight w:val="yellow"/>
        </w:rPr>
        <w:instrText>TOC \o "1-3"</w:instrText>
      </w:r>
      <w:r w:rsidRPr="002A2DB5">
        <w:rPr>
          <w:rFonts w:ascii="FangSong" w:eastAsia="FangSong" w:hAnsi="FangSong"/>
          <w:highlight w:val="yellow"/>
        </w:rPr>
        <w:instrText xml:space="preserve"> </w:instrText>
      </w:r>
      <w:r w:rsidRPr="002A2DB5">
        <w:rPr>
          <w:rFonts w:ascii="FangSong" w:eastAsia="FangSong" w:hAnsi="FangSong"/>
          <w:highlight w:val="yellow"/>
        </w:rPr>
        <w:fldChar w:fldCharType="separate"/>
      </w:r>
      <w:r w:rsidR="00911A10" w:rsidRPr="00D10DDA">
        <w:rPr>
          <w:rFonts w:ascii="FangSong" w:eastAsia="FangSong" w:hAnsi="FangSong"/>
          <w:noProof/>
        </w:rPr>
        <w:t>一、项目背景</w:t>
      </w:r>
      <w:r w:rsidR="00911A10">
        <w:rPr>
          <w:noProof/>
        </w:rPr>
        <w:tab/>
      </w:r>
      <w:r w:rsidR="00911A10">
        <w:rPr>
          <w:noProof/>
        </w:rPr>
        <w:fldChar w:fldCharType="begin"/>
      </w:r>
      <w:r w:rsidR="00911A10">
        <w:rPr>
          <w:noProof/>
        </w:rPr>
        <w:instrText xml:space="preserve"> PAGEREF _Toc24893504 \h </w:instrText>
      </w:r>
      <w:r w:rsidR="00911A10">
        <w:rPr>
          <w:noProof/>
        </w:rPr>
      </w:r>
      <w:r w:rsidR="00911A10">
        <w:rPr>
          <w:noProof/>
        </w:rPr>
        <w:fldChar w:fldCharType="separate"/>
      </w:r>
      <w:r w:rsidR="00911A10">
        <w:rPr>
          <w:noProof/>
        </w:rPr>
        <w:t>3</w:t>
      </w:r>
      <w:r w:rsidR="00911A10">
        <w:rPr>
          <w:noProof/>
        </w:rPr>
        <w:fldChar w:fldCharType="end"/>
      </w:r>
    </w:p>
    <w:p w14:paraId="787012C1" w14:textId="77777777" w:rsidR="00911A10" w:rsidRDefault="00911A10">
      <w:pPr>
        <w:pStyle w:val="11"/>
        <w:tabs>
          <w:tab w:val="right" w:leader="dot" w:pos="8290"/>
        </w:tabs>
        <w:rPr>
          <w:noProof/>
        </w:rPr>
      </w:pPr>
      <w:r w:rsidRPr="00D10DDA">
        <w:rPr>
          <w:rFonts w:ascii="FangSong" w:eastAsia="FangSong" w:hAnsi="FangSong"/>
          <w:noProof/>
        </w:rPr>
        <w:t>二、项目概况</w:t>
      </w:r>
      <w:r>
        <w:rPr>
          <w:noProof/>
        </w:rPr>
        <w:tab/>
      </w:r>
      <w:r>
        <w:rPr>
          <w:noProof/>
        </w:rPr>
        <w:fldChar w:fldCharType="begin"/>
      </w:r>
      <w:r>
        <w:rPr>
          <w:noProof/>
        </w:rPr>
        <w:instrText xml:space="preserve"> PAGEREF _Toc24893505 \h </w:instrText>
      </w:r>
      <w:r>
        <w:rPr>
          <w:noProof/>
        </w:rPr>
      </w:r>
      <w:r>
        <w:rPr>
          <w:noProof/>
        </w:rPr>
        <w:fldChar w:fldCharType="separate"/>
      </w:r>
      <w:r>
        <w:rPr>
          <w:noProof/>
        </w:rPr>
        <w:t>6</w:t>
      </w:r>
      <w:r>
        <w:rPr>
          <w:noProof/>
        </w:rPr>
        <w:fldChar w:fldCharType="end"/>
      </w:r>
    </w:p>
    <w:p w14:paraId="7E8C62C1" w14:textId="77777777" w:rsidR="00911A10" w:rsidRDefault="00911A10">
      <w:pPr>
        <w:pStyle w:val="21"/>
        <w:tabs>
          <w:tab w:val="right" w:leader="dot" w:pos="8290"/>
        </w:tabs>
        <w:rPr>
          <w:noProof/>
        </w:rPr>
      </w:pPr>
      <w:r w:rsidRPr="00D10DDA">
        <w:rPr>
          <w:rFonts w:ascii="FangSong" w:eastAsia="FangSong" w:hAnsi="FangSong"/>
          <w:noProof/>
        </w:rPr>
        <w:t>2.1基本情况</w:t>
      </w:r>
      <w:r>
        <w:rPr>
          <w:noProof/>
        </w:rPr>
        <w:tab/>
      </w:r>
      <w:r>
        <w:rPr>
          <w:noProof/>
        </w:rPr>
        <w:fldChar w:fldCharType="begin"/>
      </w:r>
      <w:r>
        <w:rPr>
          <w:noProof/>
        </w:rPr>
        <w:instrText xml:space="preserve"> PAGEREF _Toc24893506 \h </w:instrText>
      </w:r>
      <w:r>
        <w:rPr>
          <w:noProof/>
        </w:rPr>
      </w:r>
      <w:r>
        <w:rPr>
          <w:noProof/>
        </w:rPr>
        <w:fldChar w:fldCharType="separate"/>
      </w:r>
      <w:r>
        <w:rPr>
          <w:noProof/>
        </w:rPr>
        <w:t>6</w:t>
      </w:r>
      <w:r>
        <w:rPr>
          <w:noProof/>
        </w:rPr>
        <w:fldChar w:fldCharType="end"/>
      </w:r>
    </w:p>
    <w:p w14:paraId="6AB59500" w14:textId="77777777" w:rsidR="00911A10" w:rsidRDefault="00911A10">
      <w:pPr>
        <w:pStyle w:val="21"/>
        <w:tabs>
          <w:tab w:val="right" w:leader="dot" w:pos="8290"/>
        </w:tabs>
        <w:rPr>
          <w:noProof/>
        </w:rPr>
      </w:pPr>
      <w:r w:rsidRPr="00D10DDA">
        <w:rPr>
          <w:rFonts w:ascii="FangSong" w:eastAsia="FangSong" w:hAnsi="FangSong"/>
          <w:noProof/>
        </w:rPr>
        <w:t>2.2建设概况</w:t>
      </w:r>
      <w:r>
        <w:rPr>
          <w:noProof/>
        </w:rPr>
        <w:tab/>
      </w:r>
      <w:r>
        <w:rPr>
          <w:noProof/>
        </w:rPr>
        <w:fldChar w:fldCharType="begin"/>
      </w:r>
      <w:r>
        <w:rPr>
          <w:noProof/>
        </w:rPr>
        <w:instrText xml:space="preserve"> PAGEREF _Toc24893507 \h </w:instrText>
      </w:r>
      <w:r>
        <w:rPr>
          <w:noProof/>
        </w:rPr>
      </w:r>
      <w:r>
        <w:rPr>
          <w:noProof/>
        </w:rPr>
        <w:fldChar w:fldCharType="separate"/>
      </w:r>
      <w:r>
        <w:rPr>
          <w:noProof/>
        </w:rPr>
        <w:t>8</w:t>
      </w:r>
      <w:r>
        <w:rPr>
          <w:noProof/>
        </w:rPr>
        <w:fldChar w:fldCharType="end"/>
      </w:r>
    </w:p>
    <w:p w14:paraId="532209D3" w14:textId="77777777" w:rsidR="00911A10" w:rsidRDefault="00911A10">
      <w:pPr>
        <w:pStyle w:val="21"/>
        <w:tabs>
          <w:tab w:val="right" w:leader="dot" w:pos="8290"/>
        </w:tabs>
        <w:rPr>
          <w:noProof/>
        </w:rPr>
      </w:pPr>
      <w:r w:rsidRPr="00D10DDA">
        <w:rPr>
          <w:rFonts w:ascii="FangSong" w:eastAsia="FangSong" w:hAnsi="FangSong"/>
          <w:noProof/>
        </w:rPr>
        <w:t>2.3运营模式</w:t>
      </w:r>
      <w:r>
        <w:rPr>
          <w:noProof/>
        </w:rPr>
        <w:tab/>
      </w:r>
      <w:r>
        <w:rPr>
          <w:noProof/>
        </w:rPr>
        <w:fldChar w:fldCharType="begin"/>
      </w:r>
      <w:r>
        <w:rPr>
          <w:noProof/>
        </w:rPr>
        <w:instrText xml:space="preserve"> PAGEREF _Toc24893508 \h </w:instrText>
      </w:r>
      <w:r>
        <w:rPr>
          <w:noProof/>
        </w:rPr>
      </w:r>
      <w:r>
        <w:rPr>
          <w:noProof/>
        </w:rPr>
        <w:fldChar w:fldCharType="separate"/>
      </w:r>
      <w:r>
        <w:rPr>
          <w:noProof/>
        </w:rPr>
        <w:t>10</w:t>
      </w:r>
      <w:r>
        <w:rPr>
          <w:noProof/>
        </w:rPr>
        <w:fldChar w:fldCharType="end"/>
      </w:r>
    </w:p>
    <w:p w14:paraId="5BDFC1E9" w14:textId="77777777" w:rsidR="00911A10" w:rsidRDefault="00911A10">
      <w:pPr>
        <w:pStyle w:val="11"/>
        <w:tabs>
          <w:tab w:val="right" w:leader="dot" w:pos="8290"/>
        </w:tabs>
        <w:rPr>
          <w:noProof/>
        </w:rPr>
      </w:pPr>
      <w:r w:rsidRPr="00D10DDA">
        <w:rPr>
          <w:rFonts w:ascii="FangSong" w:eastAsia="FangSong" w:hAnsi="FangSong"/>
          <w:noProof/>
        </w:rPr>
        <w:t>三、行业分析</w:t>
      </w:r>
      <w:r>
        <w:rPr>
          <w:noProof/>
        </w:rPr>
        <w:tab/>
      </w:r>
      <w:r>
        <w:rPr>
          <w:noProof/>
        </w:rPr>
        <w:fldChar w:fldCharType="begin"/>
      </w:r>
      <w:r>
        <w:rPr>
          <w:noProof/>
        </w:rPr>
        <w:instrText xml:space="preserve"> PAGEREF _Toc24893509 \h </w:instrText>
      </w:r>
      <w:r>
        <w:rPr>
          <w:noProof/>
        </w:rPr>
      </w:r>
      <w:r>
        <w:rPr>
          <w:noProof/>
        </w:rPr>
        <w:fldChar w:fldCharType="separate"/>
      </w:r>
      <w:r>
        <w:rPr>
          <w:noProof/>
        </w:rPr>
        <w:t>11</w:t>
      </w:r>
      <w:r>
        <w:rPr>
          <w:noProof/>
        </w:rPr>
        <w:fldChar w:fldCharType="end"/>
      </w:r>
    </w:p>
    <w:p w14:paraId="321EF4D1" w14:textId="77777777" w:rsidR="00911A10" w:rsidRDefault="00911A10">
      <w:pPr>
        <w:pStyle w:val="21"/>
        <w:tabs>
          <w:tab w:val="right" w:leader="dot" w:pos="8290"/>
        </w:tabs>
        <w:rPr>
          <w:noProof/>
        </w:rPr>
      </w:pPr>
      <w:r w:rsidRPr="00D10DDA">
        <w:rPr>
          <w:rFonts w:ascii="FangSong" w:eastAsia="FangSong" w:hAnsi="FangSong"/>
          <w:noProof/>
        </w:rPr>
        <w:t>3.1行业概况</w:t>
      </w:r>
      <w:r>
        <w:rPr>
          <w:noProof/>
        </w:rPr>
        <w:tab/>
      </w:r>
      <w:r>
        <w:rPr>
          <w:noProof/>
        </w:rPr>
        <w:fldChar w:fldCharType="begin"/>
      </w:r>
      <w:r>
        <w:rPr>
          <w:noProof/>
        </w:rPr>
        <w:instrText xml:space="preserve"> PAGEREF _Toc24893510 \h </w:instrText>
      </w:r>
      <w:r>
        <w:rPr>
          <w:noProof/>
        </w:rPr>
      </w:r>
      <w:r>
        <w:rPr>
          <w:noProof/>
        </w:rPr>
        <w:fldChar w:fldCharType="separate"/>
      </w:r>
      <w:r>
        <w:rPr>
          <w:noProof/>
        </w:rPr>
        <w:t>11</w:t>
      </w:r>
      <w:r>
        <w:rPr>
          <w:noProof/>
        </w:rPr>
        <w:fldChar w:fldCharType="end"/>
      </w:r>
    </w:p>
    <w:p w14:paraId="68A2C25A" w14:textId="77777777" w:rsidR="00911A10" w:rsidRDefault="00911A10">
      <w:pPr>
        <w:pStyle w:val="21"/>
        <w:tabs>
          <w:tab w:val="right" w:leader="dot" w:pos="8290"/>
        </w:tabs>
        <w:rPr>
          <w:noProof/>
        </w:rPr>
      </w:pPr>
      <w:r w:rsidRPr="00D10DDA">
        <w:rPr>
          <w:rFonts w:ascii="FangSong" w:eastAsia="FangSong" w:hAnsi="FangSong"/>
          <w:noProof/>
        </w:rPr>
        <w:t>3.2行业现状</w:t>
      </w:r>
      <w:r>
        <w:rPr>
          <w:noProof/>
        </w:rPr>
        <w:tab/>
      </w:r>
      <w:r>
        <w:rPr>
          <w:noProof/>
        </w:rPr>
        <w:fldChar w:fldCharType="begin"/>
      </w:r>
      <w:r>
        <w:rPr>
          <w:noProof/>
        </w:rPr>
        <w:instrText xml:space="preserve"> PAGEREF _Toc24893511 \h </w:instrText>
      </w:r>
      <w:r>
        <w:rPr>
          <w:noProof/>
        </w:rPr>
      </w:r>
      <w:r>
        <w:rPr>
          <w:noProof/>
        </w:rPr>
        <w:fldChar w:fldCharType="separate"/>
      </w:r>
      <w:r>
        <w:rPr>
          <w:noProof/>
        </w:rPr>
        <w:t>16</w:t>
      </w:r>
      <w:r>
        <w:rPr>
          <w:noProof/>
        </w:rPr>
        <w:fldChar w:fldCharType="end"/>
      </w:r>
    </w:p>
    <w:p w14:paraId="4706DB06" w14:textId="77777777" w:rsidR="00911A10" w:rsidRDefault="00911A10">
      <w:pPr>
        <w:pStyle w:val="21"/>
        <w:tabs>
          <w:tab w:val="right" w:leader="dot" w:pos="8290"/>
        </w:tabs>
        <w:rPr>
          <w:noProof/>
        </w:rPr>
      </w:pPr>
      <w:r w:rsidRPr="00D10DDA">
        <w:rPr>
          <w:rFonts w:ascii="FangSong" w:eastAsia="FangSong" w:hAnsi="FangSong"/>
          <w:noProof/>
        </w:rPr>
        <w:t>3.3发展趋势</w:t>
      </w:r>
      <w:r>
        <w:rPr>
          <w:noProof/>
        </w:rPr>
        <w:tab/>
      </w:r>
      <w:r>
        <w:rPr>
          <w:noProof/>
        </w:rPr>
        <w:fldChar w:fldCharType="begin"/>
      </w:r>
      <w:r>
        <w:rPr>
          <w:noProof/>
        </w:rPr>
        <w:instrText xml:space="preserve"> PAGEREF _Toc24893512 \h </w:instrText>
      </w:r>
      <w:r>
        <w:rPr>
          <w:noProof/>
        </w:rPr>
      </w:r>
      <w:r>
        <w:rPr>
          <w:noProof/>
        </w:rPr>
        <w:fldChar w:fldCharType="separate"/>
      </w:r>
      <w:r>
        <w:rPr>
          <w:noProof/>
        </w:rPr>
        <w:t>24</w:t>
      </w:r>
      <w:r>
        <w:rPr>
          <w:noProof/>
        </w:rPr>
        <w:fldChar w:fldCharType="end"/>
      </w:r>
    </w:p>
    <w:p w14:paraId="6D0D5755" w14:textId="77777777" w:rsidR="00911A10" w:rsidRDefault="00911A10">
      <w:pPr>
        <w:pStyle w:val="11"/>
        <w:tabs>
          <w:tab w:val="right" w:leader="dot" w:pos="8290"/>
        </w:tabs>
        <w:rPr>
          <w:noProof/>
        </w:rPr>
      </w:pPr>
      <w:r w:rsidRPr="00D10DDA">
        <w:rPr>
          <w:rFonts w:ascii="FangSong" w:eastAsia="FangSong" w:hAnsi="FangSong"/>
          <w:noProof/>
        </w:rPr>
        <w:t>四、市场分析</w:t>
      </w:r>
      <w:r>
        <w:rPr>
          <w:noProof/>
        </w:rPr>
        <w:tab/>
      </w:r>
      <w:r>
        <w:rPr>
          <w:noProof/>
        </w:rPr>
        <w:fldChar w:fldCharType="begin"/>
      </w:r>
      <w:r>
        <w:rPr>
          <w:noProof/>
        </w:rPr>
        <w:instrText xml:space="preserve"> PAGEREF _Toc24893513 \h </w:instrText>
      </w:r>
      <w:r>
        <w:rPr>
          <w:noProof/>
        </w:rPr>
      </w:r>
      <w:r>
        <w:rPr>
          <w:noProof/>
        </w:rPr>
        <w:fldChar w:fldCharType="separate"/>
      </w:r>
      <w:r>
        <w:rPr>
          <w:noProof/>
        </w:rPr>
        <w:t>25</w:t>
      </w:r>
      <w:r>
        <w:rPr>
          <w:noProof/>
        </w:rPr>
        <w:fldChar w:fldCharType="end"/>
      </w:r>
    </w:p>
    <w:p w14:paraId="33DC5622" w14:textId="77777777" w:rsidR="00911A10" w:rsidRDefault="00911A10">
      <w:pPr>
        <w:pStyle w:val="21"/>
        <w:tabs>
          <w:tab w:val="right" w:leader="dot" w:pos="8290"/>
        </w:tabs>
        <w:rPr>
          <w:noProof/>
        </w:rPr>
      </w:pPr>
      <w:r w:rsidRPr="00D10DDA">
        <w:rPr>
          <w:rFonts w:ascii="FangSong" w:eastAsia="FangSong" w:hAnsi="FangSong"/>
          <w:noProof/>
        </w:rPr>
        <w:t>4.1养老市场分析</w:t>
      </w:r>
      <w:r>
        <w:rPr>
          <w:noProof/>
        </w:rPr>
        <w:tab/>
      </w:r>
      <w:r>
        <w:rPr>
          <w:noProof/>
        </w:rPr>
        <w:fldChar w:fldCharType="begin"/>
      </w:r>
      <w:r>
        <w:rPr>
          <w:noProof/>
        </w:rPr>
        <w:instrText xml:space="preserve"> PAGEREF _Toc24893514 \h </w:instrText>
      </w:r>
      <w:r>
        <w:rPr>
          <w:noProof/>
        </w:rPr>
      </w:r>
      <w:r>
        <w:rPr>
          <w:noProof/>
        </w:rPr>
        <w:fldChar w:fldCharType="separate"/>
      </w:r>
      <w:r>
        <w:rPr>
          <w:noProof/>
        </w:rPr>
        <w:t>25</w:t>
      </w:r>
      <w:r>
        <w:rPr>
          <w:noProof/>
        </w:rPr>
        <w:fldChar w:fldCharType="end"/>
      </w:r>
    </w:p>
    <w:p w14:paraId="26E132BD" w14:textId="77777777" w:rsidR="00911A10" w:rsidRDefault="00911A10">
      <w:pPr>
        <w:pStyle w:val="21"/>
        <w:tabs>
          <w:tab w:val="right" w:leader="dot" w:pos="8290"/>
        </w:tabs>
        <w:rPr>
          <w:noProof/>
        </w:rPr>
      </w:pPr>
      <w:r w:rsidRPr="00D10DDA">
        <w:rPr>
          <w:rFonts w:ascii="FangSong" w:eastAsia="FangSong" w:hAnsi="FangSong"/>
          <w:noProof/>
        </w:rPr>
        <w:t>4.2市场格局分析</w:t>
      </w:r>
      <w:r>
        <w:rPr>
          <w:noProof/>
        </w:rPr>
        <w:tab/>
      </w:r>
      <w:r>
        <w:rPr>
          <w:noProof/>
        </w:rPr>
        <w:fldChar w:fldCharType="begin"/>
      </w:r>
      <w:r>
        <w:rPr>
          <w:noProof/>
        </w:rPr>
        <w:instrText xml:space="preserve"> PAGEREF _Toc24893515 \h </w:instrText>
      </w:r>
      <w:r>
        <w:rPr>
          <w:noProof/>
        </w:rPr>
      </w:r>
      <w:r>
        <w:rPr>
          <w:noProof/>
        </w:rPr>
        <w:fldChar w:fldCharType="separate"/>
      </w:r>
      <w:r>
        <w:rPr>
          <w:noProof/>
        </w:rPr>
        <w:t>34</w:t>
      </w:r>
      <w:r>
        <w:rPr>
          <w:noProof/>
        </w:rPr>
        <w:fldChar w:fldCharType="end"/>
      </w:r>
    </w:p>
    <w:p w14:paraId="28645514" w14:textId="77777777" w:rsidR="00911A10" w:rsidRDefault="00911A10">
      <w:pPr>
        <w:pStyle w:val="21"/>
        <w:tabs>
          <w:tab w:val="right" w:leader="dot" w:pos="8290"/>
        </w:tabs>
        <w:rPr>
          <w:noProof/>
        </w:rPr>
      </w:pPr>
      <w:r w:rsidRPr="00D10DDA">
        <w:rPr>
          <w:rFonts w:ascii="FangSong" w:eastAsia="FangSong" w:hAnsi="FangSong"/>
          <w:noProof/>
        </w:rPr>
        <w:t>4.3天津市场分析</w:t>
      </w:r>
      <w:r>
        <w:rPr>
          <w:noProof/>
        </w:rPr>
        <w:tab/>
      </w:r>
      <w:r>
        <w:rPr>
          <w:noProof/>
        </w:rPr>
        <w:fldChar w:fldCharType="begin"/>
      </w:r>
      <w:r>
        <w:rPr>
          <w:noProof/>
        </w:rPr>
        <w:instrText xml:space="preserve"> PAGEREF _Toc24893516 \h </w:instrText>
      </w:r>
      <w:r>
        <w:rPr>
          <w:noProof/>
        </w:rPr>
      </w:r>
      <w:r>
        <w:rPr>
          <w:noProof/>
        </w:rPr>
        <w:fldChar w:fldCharType="separate"/>
      </w:r>
      <w:r>
        <w:rPr>
          <w:noProof/>
        </w:rPr>
        <w:t>38</w:t>
      </w:r>
      <w:r>
        <w:rPr>
          <w:noProof/>
        </w:rPr>
        <w:fldChar w:fldCharType="end"/>
      </w:r>
    </w:p>
    <w:p w14:paraId="2C20A0A1" w14:textId="77777777" w:rsidR="00911A10" w:rsidRDefault="00911A10">
      <w:pPr>
        <w:pStyle w:val="11"/>
        <w:tabs>
          <w:tab w:val="right" w:leader="dot" w:pos="8290"/>
        </w:tabs>
        <w:rPr>
          <w:noProof/>
        </w:rPr>
      </w:pPr>
      <w:r w:rsidRPr="00D10DDA">
        <w:rPr>
          <w:rFonts w:ascii="FangSong" w:eastAsia="FangSong" w:hAnsi="FangSong"/>
          <w:noProof/>
        </w:rPr>
        <w:t>五、项目定位</w:t>
      </w:r>
      <w:r>
        <w:rPr>
          <w:noProof/>
        </w:rPr>
        <w:tab/>
      </w:r>
      <w:r>
        <w:rPr>
          <w:noProof/>
        </w:rPr>
        <w:fldChar w:fldCharType="begin"/>
      </w:r>
      <w:r>
        <w:rPr>
          <w:noProof/>
        </w:rPr>
        <w:instrText xml:space="preserve"> PAGEREF _Toc24893517 \h </w:instrText>
      </w:r>
      <w:r>
        <w:rPr>
          <w:noProof/>
        </w:rPr>
      </w:r>
      <w:r>
        <w:rPr>
          <w:noProof/>
        </w:rPr>
        <w:fldChar w:fldCharType="separate"/>
      </w:r>
      <w:r>
        <w:rPr>
          <w:noProof/>
        </w:rPr>
        <w:t>40</w:t>
      </w:r>
      <w:r>
        <w:rPr>
          <w:noProof/>
        </w:rPr>
        <w:fldChar w:fldCharType="end"/>
      </w:r>
    </w:p>
    <w:p w14:paraId="7ABF1B73" w14:textId="77777777" w:rsidR="00911A10" w:rsidRDefault="00911A10">
      <w:pPr>
        <w:pStyle w:val="21"/>
        <w:tabs>
          <w:tab w:val="right" w:leader="dot" w:pos="8290"/>
        </w:tabs>
        <w:rPr>
          <w:noProof/>
        </w:rPr>
      </w:pPr>
      <w:r w:rsidRPr="00D10DDA">
        <w:rPr>
          <w:rFonts w:ascii="FangSong" w:eastAsia="FangSong" w:hAnsi="FangSong"/>
          <w:noProof/>
        </w:rPr>
        <w:t>5.1总体定位</w:t>
      </w:r>
      <w:r>
        <w:rPr>
          <w:noProof/>
        </w:rPr>
        <w:tab/>
      </w:r>
      <w:r>
        <w:rPr>
          <w:noProof/>
        </w:rPr>
        <w:fldChar w:fldCharType="begin"/>
      </w:r>
      <w:r>
        <w:rPr>
          <w:noProof/>
        </w:rPr>
        <w:instrText xml:space="preserve"> PAGEREF _Toc24893518 \h </w:instrText>
      </w:r>
      <w:r>
        <w:rPr>
          <w:noProof/>
        </w:rPr>
      </w:r>
      <w:r>
        <w:rPr>
          <w:noProof/>
        </w:rPr>
        <w:fldChar w:fldCharType="separate"/>
      </w:r>
      <w:r>
        <w:rPr>
          <w:noProof/>
        </w:rPr>
        <w:t>40</w:t>
      </w:r>
      <w:r>
        <w:rPr>
          <w:noProof/>
        </w:rPr>
        <w:fldChar w:fldCharType="end"/>
      </w:r>
    </w:p>
    <w:p w14:paraId="108CF840" w14:textId="77777777" w:rsidR="00911A10" w:rsidRDefault="00911A10">
      <w:pPr>
        <w:pStyle w:val="21"/>
        <w:tabs>
          <w:tab w:val="right" w:leader="dot" w:pos="8290"/>
        </w:tabs>
        <w:rPr>
          <w:noProof/>
        </w:rPr>
      </w:pPr>
      <w:r w:rsidRPr="00D10DDA">
        <w:rPr>
          <w:rFonts w:ascii="FangSong" w:eastAsia="FangSong" w:hAnsi="FangSong"/>
          <w:noProof/>
        </w:rPr>
        <w:t>5.2客群定位</w:t>
      </w:r>
      <w:r>
        <w:rPr>
          <w:noProof/>
        </w:rPr>
        <w:tab/>
      </w:r>
      <w:r>
        <w:rPr>
          <w:noProof/>
        </w:rPr>
        <w:fldChar w:fldCharType="begin"/>
      </w:r>
      <w:r>
        <w:rPr>
          <w:noProof/>
        </w:rPr>
        <w:instrText xml:space="preserve"> PAGEREF _Toc24893519 \h </w:instrText>
      </w:r>
      <w:r>
        <w:rPr>
          <w:noProof/>
        </w:rPr>
      </w:r>
      <w:r>
        <w:rPr>
          <w:noProof/>
        </w:rPr>
        <w:fldChar w:fldCharType="separate"/>
      </w:r>
      <w:r>
        <w:rPr>
          <w:noProof/>
        </w:rPr>
        <w:t>42</w:t>
      </w:r>
      <w:r>
        <w:rPr>
          <w:noProof/>
        </w:rPr>
        <w:fldChar w:fldCharType="end"/>
      </w:r>
    </w:p>
    <w:p w14:paraId="0B1C7144" w14:textId="77777777" w:rsidR="00911A10" w:rsidRDefault="00911A10">
      <w:pPr>
        <w:pStyle w:val="21"/>
        <w:tabs>
          <w:tab w:val="right" w:leader="dot" w:pos="8290"/>
        </w:tabs>
        <w:rPr>
          <w:noProof/>
        </w:rPr>
      </w:pPr>
      <w:r w:rsidRPr="00D10DDA">
        <w:rPr>
          <w:rFonts w:ascii="FangSong" w:eastAsia="FangSong" w:hAnsi="FangSong"/>
          <w:noProof/>
        </w:rPr>
        <w:t>5.3功能定位</w:t>
      </w:r>
      <w:r>
        <w:rPr>
          <w:noProof/>
        </w:rPr>
        <w:tab/>
      </w:r>
      <w:r>
        <w:rPr>
          <w:noProof/>
        </w:rPr>
        <w:fldChar w:fldCharType="begin"/>
      </w:r>
      <w:r>
        <w:rPr>
          <w:noProof/>
        </w:rPr>
        <w:instrText xml:space="preserve"> PAGEREF _Toc24893520 \h </w:instrText>
      </w:r>
      <w:r>
        <w:rPr>
          <w:noProof/>
        </w:rPr>
      </w:r>
      <w:r>
        <w:rPr>
          <w:noProof/>
        </w:rPr>
        <w:fldChar w:fldCharType="separate"/>
      </w:r>
      <w:r>
        <w:rPr>
          <w:noProof/>
        </w:rPr>
        <w:t>43</w:t>
      </w:r>
      <w:r>
        <w:rPr>
          <w:noProof/>
        </w:rPr>
        <w:fldChar w:fldCharType="end"/>
      </w:r>
    </w:p>
    <w:p w14:paraId="5D31F227" w14:textId="77777777" w:rsidR="00911A10" w:rsidRDefault="00911A10">
      <w:pPr>
        <w:pStyle w:val="11"/>
        <w:tabs>
          <w:tab w:val="right" w:leader="dot" w:pos="8290"/>
        </w:tabs>
        <w:rPr>
          <w:noProof/>
        </w:rPr>
      </w:pPr>
      <w:r w:rsidRPr="00D10DDA">
        <w:rPr>
          <w:rFonts w:ascii="FangSong" w:eastAsia="FangSong" w:hAnsi="FangSong"/>
          <w:noProof/>
        </w:rPr>
        <w:t>六、项目评价</w:t>
      </w:r>
      <w:r>
        <w:rPr>
          <w:noProof/>
        </w:rPr>
        <w:tab/>
      </w:r>
      <w:r>
        <w:rPr>
          <w:noProof/>
        </w:rPr>
        <w:fldChar w:fldCharType="begin"/>
      </w:r>
      <w:r>
        <w:rPr>
          <w:noProof/>
        </w:rPr>
        <w:instrText xml:space="preserve"> PAGEREF _Toc24893521 \h </w:instrText>
      </w:r>
      <w:r>
        <w:rPr>
          <w:noProof/>
        </w:rPr>
      </w:r>
      <w:r>
        <w:rPr>
          <w:noProof/>
        </w:rPr>
        <w:fldChar w:fldCharType="separate"/>
      </w:r>
      <w:r>
        <w:rPr>
          <w:noProof/>
        </w:rPr>
        <w:t>45</w:t>
      </w:r>
      <w:r>
        <w:rPr>
          <w:noProof/>
        </w:rPr>
        <w:fldChar w:fldCharType="end"/>
      </w:r>
    </w:p>
    <w:p w14:paraId="6023A1B3" w14:textId="77777777" w:rsidR="00911A10" w:rsidRDefault="00911A10">
      <w:pPr>
        <w:pStyle w:val="21"/>
        <w:tabs>
          <w:tab w:val="right" w:leader="dot" w:pos="8290"/>
        </w:tabs>
        <w:rPr>
          <w:noProof/>
        </w:rPr>
      </w:pPr>
      <w:r w:rsidRPr="00D10DDA">
        <w:rPr>
          <w:rFonts w:ascii="FangSong" w:eastAsia="FangSong" w:hAnsi="FangSong"/>
          <w:noProof/>
        </w:rPr>
        <w:t>6.1能评分析</w:t>
      </w:r>
      <w:r>
        <w:rPr>
          <w:noProof/>
        </w:rPr>
        <w:tab/>
      </w:r>
      <w:r>
        <w:rPr>
          <w:noProof/>
        </w:rPr>
        <w:fldChar w:fldCharType="begin"/>
      </w:r>
      <w:r>
        <w:rPr>
          <w:noProof/>
        </w:rPr>
        <w:instrText xml:space="preserve"> PAGEREF _Toc24893522 \h </w:instrText>
      </w:r>
      <w:r>
        <w:rPr>
          <w:noProof/>
        </w:rPr>
      </w:r>
      <w:r>
        <w:rPr>
          <w:noProof/>
        </w:rPr>
        <w:fldChar w:fldCharType="separate"/>
      </w:r>
      <w:r>
        <w:rPr>
          <w:noProof/>
        </w:rPr>
        <w:t>45</w:t>
      </w:r>
      <w:r>
        <w:rPr>
          <w:noProof/>
        </w:rPr>
        <w:fldChar w:fldCharType="end"/>
      </w:r>
    </w:p>
    <w:p w14:paraId="51FF4092" w14:textId="77777777" w:rsidR="00911A10" w:rsidRDefault="00911A10">
      <w:pPr>
        <w:pStyle w:val="21"/>
        <w:tabs>
          <w:tab w:val="right" w:leader="dot" w:pos="8290"/>
        </w:tabs>
        <w:rPr>
          <w:noProof/>
        </w:rPr>
      </w:pPr>
      <w:r w:rsidRPr="00D10DDA">
        <w:rPr>
          <w:rFonts w:ascii="FangSong" w:eastAsia="FangSong" w:hAnsi="FangSong"/>
          <w:noProof/>
        </w:rPr>
        <w:t>6.2环评分析</w:t>
      </w:r>
      <w:r>
        <w:rPr>
          <w:noProof/>
        </w:rPr>
        <w:tab/>
      </w:r>
      <w:r>
        <w:rPr>
          <w:noProof/>
        </w:rPr>
        <w:fldChar w:fldCharType="begin"/>
      </w:r>
      <w:r>
        <w:rPr>
          <w:noProof/>
        </w:rPr>
        <w:instrText xml:space="preserve"> PAGEREF _Toc24893523 \h </w:instrText>
      </w:r>
      <w:r>
        <w:rPr>
          <w:noProof/>
        </w:rPr>
      </w:r>
      <w:r>
        <w:rPr>
          <w:noProof/>
        </w:rPr>
        <w:fldChar w:fldCharType="separate"/>
      </w:r>
      <w:r>
        <w:rPr>
          <w:noProof/>
        </w:rPr>
        <w:t>45</w:t>
      </w:r>
      <w:r>
        <w:rPr>
          <w:noProof/>
        </w:rPr>
        <w:fldChar w:fldCharType="end"/>
      </w:r>
    </w:p>
    <w:p w14:paraId="485CF422" w14:textId="77777777" w:rsidR="00911A10" w:rsidRDefault="00911A10">
      <w:pPr>
        <w:pStyle w:val="11"/>
        <w:tabs>
          <w:tab w:val="right" w:leader="dot" w:pos="8290"/>
        </w:tabs>
        <w:rPr>
          <w:noProof/>
        </w:rPr>
      </w:pPr>
      <w:r w:rsidRPr="00D10DDA">
        <w:rPr>
          <w:rFonts w:ascii="FangSong" w:eastAsia="FangSong" w:hAnsi="FangSong"/>
          <w:noProof/>
        </w:rPr>
        <w:t>七、服务产品</w:t>
      </w:r>
      <w:r>
        <w:rPr>
          <w:noProof/>
        </w:rPr>
        <w:tab/>
      </w:r>
      <w:r>
        <w:rPr>
          <w:noProof/>
        </w:rPr>
        <w:fldChar w:fldCharType="begin"/>
      </w:r>
      <w:r>
        <w:rPr>
          <w:noProof/>
        </w:rPr>
        <w:instrText xml:space="preserve"> PAGEREF _Toc24893524 \h </w:instrText>
      </w:r>
      <w:r>
        <w:rPr>
          <w:noProof/>
        </w:rPr>
      </w:r>
      <w:r>
        <w:rPr>
          <w:noProof/>
        </w:rPr>
        <w:fldChar w:fldCharType="separate"/>
      </w:r>
      <w:r>
        <w:rPr>
          <w:noProof/>
        </w:rPr>
        <w:t>46</w:t>
      </w:r>
      <w:r>
        <w:rPr>
          <w:noProof/>
        </w:rPr>
        <w:fldChar w:fldCharType="end"/>
      </w:r>
    </w:p>
    <w:p w14:paraId="310EA70D" w14:textId="77777777" w:rsidR="00911A10" w:rsidRDefault="00911A10">
      <w:pPr>
        <w:pStyle w:val="21"/>
        <w:tabs>
          <w:tab w:val="right" w:leader="dot" w:pos="8290"/>
        </w:tabs>
        <w:rPr>
          <w:noProof/>
        </w:rPr>
      </w:pPr>
      <w:r w:rsidRPr="00D10DDA">
        <w:rPr>
          <w:rFonts w:ascii="FangSong" w:eastAsia="FangSong" w:hAnsi="FangSong"/>
          <w:noProof/>
        </w:rPr>
        <w:lastRenderedPageBreak/>
        <w:t>7.1服务产品</w:t>
      </w:r>
      <w:r>
        <w:rPr>
          <w:noProof/>
        </w:rPr>
        <w:tab/>
      </w:r>
      <w:r>
        <w:rPr>
          <w:noProof/>
        </w:rPr>
        <w:fldChar w:fldCharType="begin"/>
      </w:r>
      <w:r>
        <w:rPr>
          <w:noProof/>
        </w:rPr>
        <w:instrText xml:space="preserve"> PAGEREF _Toc24893525 \h </w:instrText>
      </w:r>
      <w:r>
        <w:rPr>
          <w:noProof/>
        </w:rPr>
      </w:r>
      <w:r>
        <w:rPr>
          <w:noProof/>
        </w:rPr>
        <w:fldChar w:fldCharType="separate"/>
      </w:r>
      <w:r>
        <w:rPr>
          <w:noProof/>
        </w:rPr>
        <w:t>46</w:t>
      </w:r>
      <w:r>
        <w:rPr>
          <w:noProof/>
        </w:rPr>
        <w:fldChar w:fldCharType="end"/>
      </w:r>
    </w:p>
    <w:p w14:paraId="1A2B6A60" w14:textId="77777777" w:rsidR="00911A10" w:rsidRDefault="00911A10">
      <w:pPr>
        <w:pStyle w:val="21"/>
        <w:tabs>
          <w:tab w:val="right" w:leader="dot" w:pos="8290"/>
        </w:tabs>
        <w:rPr>
          <w:noProof/>
        </w:rPr>
      </w:pPr>
      <w:r w:rsidRPr="00D10DDA">
        <w:rPr>
          <w:rFonts w:ascii="FangSong" w:eastAsia="FangSong" w:hAnsi="FangSong"/>
          <w:noProof/>
        </w:rPr>
        <w:t>7.2服务内容</w:t>
      </w:r>
      <w:r>
        <w:rPr>
          <w:noProof/>
        </w:rPr>
        <w:tab/>
      </w:r>
      <w:r>
        <w:rPr>
          <w:noProof/>
        </w:rPr>
        <w:fldChar w:fldCharType="begin"/>
      </w:r>
      <w:r>
        <w:rPr>
          <w:noProof/>
        </w:rPr>
        <w:instrText xml:space="preserve"> PAGEREF _Toc24893526 \h </w:instrText>
      </w:r>
      <w:r>
        <w:rPr>
          <w:noProof/>
        </w:rPr>
      </w:r>
      <w:r>
        <w:rPr>
          <w:noProof/>
        </w:rPr>
        <w:fldChar w:fldCharType="separate"/>
      </w:r>
      <w:r>
        <w:rPr>
          <w:noProof/>
        </w:rPr>
        <w:t>46</w:t>
      </w:r>
      <w:r>
        <w:rPr>
          <w:noProof/>
        </w:rPr>
        <w:fldChar w:fldCharType="end"/>
      </w:r>
    </w:p>
    <w:p w14:paraId="0E9CB7C0" w14:textId="77777777" w:rsidR="00911A10" w:rsidRDefault="00911A10">
      <w:pPr>
        <w:pStyle w:val="21"/>
        <w:tabs>
          <w:tab w:val="right" w:leader="dot" w:pos="8290"/>
        </w:tabs>
        <w:rPr>
          <w:noProof/>
        </w:rPr>
      </w:pPr>
      <w:r w:rsidRPr="00D10DDA">
        <w:rPr>
          <w:rFonts w:ascii="FangSong" w:eastAsia="FangSong" w:hAnsi="FangSong"/>
          <w:noProof/>
        </w:rPr>
        <w:t>2.4项目服务特色</w:t>
      </w:r>
      <w:r>
        <w:rPr>
          <w:noProof/>
        </w:rPr>
        <w:tab/>
      </w:r>
      <w:r>
        <w:rPr>
          <w:noProof/>
        </w:rPr>
        <w:fldChar w:fldCharType="begin"/>
      </w:r>
      <w:r>
        <w:rPr>
          <w:noProof/>
        </w:rPr>
        <w:instrText xml:space="preserve"> PAGEREF _Toc24893527 \h </w:instrText>
      </w:r>
      <w:r>
        <w:rPr>
          <w:noProof/>
        </w:rPr>
      </w:r>
      <w:r>
        <w:rPr>
          <w:noProof/>
        </w:rPr>
        <w:fldChar w:fldCharType="separate"/>
      </w:r>
      <w:r>
        <w:rPr>
          <w:noProof/>
        </w:rPr>
        <w:t>48</w:t>
      </w:r>
      <w:r>
        <w:rPr>
          <w:noProof/>
        </w:rPr>
        <w:fldChar w:fldCharType="end"/>
      </w:r>
    </w:p>
    <w:p w14:paraId="2D41F02E" w14:textId="77777777" w:rsidR="00911A10" w:rsidRDefault="00911A10">
      <w:pPr>
        <w:pStyle w:val="21"/>
        <w:tabs>
          <w:tab w:val="right" w:leader="dot" w:pos="8290"/>
        </w:tabs>
        <w:rPr>
          <w:noProof/>
        </w:rPr>
      </w:pPr>
      <w:r w:rsidRPr="00D10DDA">
        <w:rPr>
          <w:rFonts w:ascii="FangSong" w:eastAsia="FangSong" w:hAnsi="FangSong"/>
          <w:noProof/>
        </w:rPr>
        <w:t>7.3周边竞品</w:t>
      </w:r>
      <w:r>
        <w:rPr>
          <w:noProof/>
        </w:rPr>
        <w:tab/>
      </w:r>
      <w:r>
        <w:rPr>
          <w:noProof/>
        </w:rPr>
        <w:fldChar w:fldCharType="begin"/>
      </w:r>
      <w:r>
        <w:rPr>
          <w:noProof/>
        </w:rPr>
        <w:instrText xml:space="preserve"> PAGEREF _Toc24893528 \h </w:instrText>
      </w:r>
      <w:r>
        <w:rPr>
          <w:noProof/>
        </w:rPr>
      </w:r>
      <w:r>
        <w:rPr>
          <w:noProof/>
        </w:rPr>
        <w:fldChar w:fldCharType="separate"/>
      </w:r>
      <w:r>
        <w:rPr>
          <w:noProof/>
        </w:rPr>
        <w:t>48</w:t>
      </w:r>
      <w:r>
        <w:rPr>
          <w:noProof/>
        </w:rPr>
        <w:fldChar w:fldCharType="end"/>
      </w:r>
    </w:p>
    <w:p w14:paraId="55A7EDBA" w14:textId="77777777" w:rsidR="00911A10" w:rsidRDefault="00911A10">
      <w:pPr>
        <w:pStyle w:val="11"/>
        <w:tabs>
          <w:tab w:val="right" w:leader="dot" w:pos="8290"/>
        </w:tabs>
        <w:rPr>
          <w:noProof/>
        </w:rPr>
      </w:pPr>
      <w:r w:rsidRPr="00D10DDA">
        <w:rPr>
          <w:rFonts w:ascii="FangSong" w:eastAsia="FangSong" w:hAnsi="FangSong"/>
          <w:noProof/>
        </w:rPr>
        <w:t>八、商业模式</w:t>
      </w:r>
      <w:r>
        <w:rPr>
          <w:noProof/>
        </w:rPr>
        <w:tab/>
      </w:r>
      <w:r>
        <w:rPr>
          <w:noProof/>
        </w:rPr>
        <w:fldChar w:fldCharType="begin"/>
      </w:r>
      <w:r>
        <w:rPr>
          <w:noProof/>
        </w:rPr>
        <w:instrText xml:space="preserve"> PAGEREF _Toc24893529 \h </w:instrText>
      </w:r>
      <w:r>
        <w:rPr>
          <w:noProof/>
        </w:rPr>
      </w:r>
      <w:r>
        <w:rPr>
          <w:noProof/>
        </w:rPr>
        <w:fldChar w:fldCharType="separate"/>
      </w:r>
      <w:r>
        <w:rPr>
          <w:noProof/>
        </w:rPr>
        <w:t>52</w:t>
      </w:r>
      <w:r>
        <w:rPr>
          <w:noProof/>
        </w:rPr>
        <w:fldChar w:fldCharType="end"/>
      </w:r>
    </w:p>
    <w:p w14:paraId="2657CA52" w14:textId="77777777" w:rsidR="00911A10" w:rsidRDefault="00911A10">
      <w:pPr>
        <w:pStyle w:val="21"/>
        <w:tabs>
          <w:tab w:val="right" w:leader="dot" w:pos="8290"/>
        </w:tabs>
        <w:rPr>
          <w:noProof/>
        </w:rPr>
      </w:pPr>
      <w:r w:rsidRPr="00D10DDA">
        <w:rPr>
          <w:rFonts w:ascii="FangSong" w:eastAsia="FangSong" w:hAnsi="FangSong"/>
          <w:noProof/>
        </w:rPr>
        <w:t>8.1商业模式</w:t>
      </w:r>
      <w:r>
        <w:rPr>
          <w:noProof/>
        </w:rPr>
        <w:tab/>
      </w:r>
      <w:r>
        <w:rPr>
          <w:noProof/>
        </w:rPr>
        <w:fldChar w:fldCharType="begin"/>
      </w:r>
      <w:r>
        <w:rPr>
          <w:noProof/>
        </w:rPr>
        <w:instrText xml:space="preserve"> PAGEREF _Toc24893530 \h </w:instrText>
      </w:r>
      <w:r>
        <w:rPr>
          <w:noProof/>
        </w:rPr>
      </w:r>
      <w:r>
        <w:rPr>
          <w:noProof/>
        </w:rPr>
        <w:fldChar w:fldCharType="separate"/>
      </w:r>
      <w:r>
        <w:rPr>
          <w:noProof/>
        </w:rPr>
        <w:t>52</w:t>
      </w:r>
      <w:r>
        <w:rPr>
          <w:noProof/>
        </w:rPr>
        <w:fldChar w:fldCharType="end"/>
      </w:r>
    </w:p>
    <w:p w14:paraId="10F965C9" w14:textId="77777777" w:rsidR="00911A10" w:rsidRDefault="00911A10">
      <w:pPr>
        <w:pStyle w:val="21"/>
        <w:tabs>
          <w:tab w:val="right" w:leader="dot" w:pos="8290"/>
        </w:tabs>
        <w:rPr>
          <w:noProof/>
        </w:rPr>
      </w:pPr>
      <w:r w:rsidRPr="00D10DDA">
        <w:rPr>
          <w:rFonts w:ascii="FangSong" w:eastAsia="FangSong" w:hAnsi="FangSong"/>
          <w:noProof/>
        </w:rPr>
        <w:t>8.2盈利模式</w:t>
      </w:r>
      <w:r>
        <w:rPr>
          <w:noProof/>
        </w:rPr>
        <w:tab/>
      </w:r>
      <w:r>
        <w:rPr>
          <w:noProof/>
        </w:rPr>
        <w:fldChar w:fldCharType="begin"/>
      </w:r>
      <w:r>
        <w:rPr>
          <w:noProof/>
        </w:rPr>
        <w:instrText xml:space="preserve"> PAGEREF _Toc24893531 \h </w:instrText>
      </w:r>
      <w:r>
        <w:rPr>
          <w:noProof/>
        </w:rPr>
      </w:r>
      <w:r>
        <w:rPr>
          <w:noProof/>
        </w:rPr>
        <w:fldChar w:fldCharType="separate"/>
      </w:r>
      <w:r>
        <w:rPr>
          <w:noProof/>
        </w:rPr>
        <w:t>52</w:t>
      </w:r>
      <w:r>
        <w:rPr>
          <w:noProof/>
        </w:rPr>
        <w:fldChar w:fldCharType="end"/>
      </w:r>
    </w:p>
    <w:p w14:paraId="4AC29A20" w14:textId="77777777" w:rsidR="00911A10" w:rsidRDefault="00911A10">
      <w:pPr>
        <w:pStyle w:val="11"/>
        <w:tabs>
          <w:tab w:val="right" w:leader="dot" w:pos="8290"/>
        </w:tabs>
        <w:rPr>
          <w:noProof/>
        </w:rPr>
      </w:pPr>
      <w:r w:rsidRPr="00D10DDA">
        <w:rPr>
          <w:rFonts w:ascii="FangSong" w:eastAsia="FangSong" w:hAnsi="FangSong"/>
          <w:noProof/>
        </w:rPr>
        <w:t>九、营销推广</w:t>
      </w:r>
      <w:r>
        <w:rPr>
          <w:noProof/>
        </w:rPr>
        <w:tab/>
      </w:r>
      <w:r>
        <w:rPr>
          <w:noProof/>
        </w:rPr>
        <w:fldChar w:fldCharType="begin"/>
      </w:r>
      <w:r>
        <w:rPr>
          <w:noProof/>
        </w:rPr>
        <w:instrText xml:space="preserve"> PAGEREF _Toc24893532 \h </w:instrText>
      </w:r>
      <w:r>
        <w:rPr>
          <w:noProof/>
        </w:rPr>
      </w:r>
      <w:r>
        <w:rPr>
          <w:noProof/>
        </w:rPr>
        <w:fldChar w:fldCharType="separate"/>
      </w:r>
      <w:r>
        <w:rPr>
          <w:noProof/>
        </w:rPr>
        <w:t>53</w:t>
      </w:r>
      <w:r>
        <w:rPr>
          <w:noProof/>
        </w:rPr>
        <w:fldChar w:fldCharType="end"/>
      </w:r>
    </w:p>
    <w:p w14:paraId="269F89C1" w14:textId="77777777" w:rsidR="00911A10" w:rsidRDefault="00911A10">
      <w:pPr>
        <w:pStyle w:val="21"/>
        <w:tabs>
          <w:tab w:val="right" w:leader="dot" w:pos="8290"/>
        </w:tabs>
        <w:rPr>
          <w:noProof/>
        </w:rPr>
      </w:pPr>
      <w:r w:rsidRPr="00D10DDA">
        <w:rPr>
          <w:rFonts w:ascii="FangSong" w:eastAsia="FangSong" w:hAnsi="FangSong"/>
          <w:noProof/>
        </w:rPr>
        <w:t>9.1营销方案</w:t>
      </w:r>
      <w:r>
        <w:rPr>
          <w:noProof/>
        </w:rPr>
        <w:tab/>
      </w:r>
      <w:r>
        <w:rPr>
          <w:noProof/>
        </w:rPr>
        <w:fldChar w:fldCharType="begin"/>
      </w:r>
      <w:r>
        <w:rPr>
          <w:noProof/>
        </w:rPr>
        <w:instrText xml:space="preserve"> PAGEREF _Toc24893533 \h </w:instrText>
      </w:r>
      <w:r>
        <w:rPr>
          <w:noProof/>
        </w:rPr>
      </w:r>
      <w:r>
        <w:rPr>
          <w:noProof/>
        </w:rPr>
        <w:fldChar w:fldCharType="separate"/>
      </w:r>
      <w:r>
        <w:rPr>
          <w:noProof/>
        </w:rPr>
        <w:t>53</w:t>
      </w:r>
      <w:r>
        <w:rPr>
          <w:noProof/>
        </w:rPr>
        <w:fldChar w:fldCharType="end"/>
      </w:r>
    </w:p>
    <w:p w14:paraId="51747991" w14:textId="77777777" w:rsidR="00911A10" w:rsidRDefault="00911A10">
      <w:pPr>
        <w:pStyle w:val="21"/>
        <w:tabs>
          <w:tab w:val="right" w:leader="dot" w:pos="8290"/>
        </w:tabs>
        <w:rPr>
          <w:noProof/>
        </w:rPr>
      </w:pPr>
      <w:r w:rsidRPr="00D10DDA">
        <w:rPr>
          <w:rFonts w:ascii="FangSong" w:eastAsia="FangSong" w:hAnsi="FangSong"/>
          <w:noProof/>
        </w:rPr>
        <w:t>9.2营销策略</w:t>
      </w:r>
      <w:r>
        <w:rPr>
          <w:noProof/>
        </w:rPr>
        <w:tab/>
      </w:r>
      <w:r>
        <w:rPr>
          <w:noProof/>
        </w:rPr>
        <w:fldChar w:fldCharType="begin"/>
      </w:r>
      <w:r>
        <w:rPr>
          <w:noProof/>
        </w:rPr>
        <w:instrText xml:space="preserve"> PAGEREF _Toc24893534 \h </w:instrText>
      </w:r>
      <w:r>
        <w:rPr>
          <w:noProof/>
        </w:rPr>
      </w:r>
      <w:r>
        <w:rPr>
          <w:noProof/>
        </w:rPr>
        <w:fldChar w:fldCharType="separate"/>
      </w:r>
      <w:r>
        <w:rPr>
          <w:noProof/>
        </w:rPr>
        <w:t>55</w:t>
      </w:r>
      <w:r>
        <w:rPr>
          <w:noProof/>
        </w:rPr>
        <w:fldChar w:fldCharType="end"/>
      </w:r>
    </w:p>
    <w:p w14:paraId="7C68A250" w14:textId="77777777" w:rsidR="00911A10" w:rsidRDefault="00911A10">
      <w:pPr>
        <w:pStyle w:val="21"/>
        <w:tabs>
          <w:tab w:val="right" w:leader="dot" w:pos="8290"/>
        </w:tabs>
        <w:rPr>
          <w:noProof/>
        </w:rPr>
      </w:pPr>
      <w:r w:rsidRPr="00D10DDA">
        <w:rPr>
          <w:rFonts w:ascii="FangSong" w:eastAsia="FangSong" w:hAnsi="FangSong"/>
          <w:noProof/>
        </w:rPr>
        <w:t>9.3营销渠道</w:t>
      </w:r>
      <w:r>
        <w:rPr>
          <w:noProof/>
        </w:rPr>
        <w:tab/>
      </w:r>
      <w:r>
        <w:rPr>
          <w:noProof/>
        </w:rPr>
        <w:fldChar w:fldCharType="begin"/>
      </w:r>
      <w:r>
        <w:rPr>
          <w:noProof/>
        </w:rPr>
        <w:instrText xml:space="preserve"> PAGEREF _Toc24893535 \h </w:instrText>
      </w:r>
      <w:r>
        <w:rPr>
          <w:noProof/>
        </w:rPr>
      </w:r>
      <w:r>
        <w:rPr>
          <w:noProof/>
        </w:rPr>
        <w:fldChar w:fldCharType="separate"/>
      </w:r>
      <w:r>
        <w:rPr>
          <w:noProof/>
        </w:rPr>
        <w:t>57</w:t>
      </w:r>
      <w:r>
        <w:rPr>
          <w:noProof/>
        </w:rPr>
        <w:fldChar w:fldCharType="end"/>
      </w:r>
    </w:p>
    <w:p w14:paraId="5527D3D1" w14:textId="77777777" w:rsidR="00911A10" w:rsidRDefault="00911A10">
      <w:pPr>
        <w:pStyle w:val="11"/>
        <w:tabs>
          <w:tab w:val="right" w:leader="dot" w:pos="8290"/>
        </w:tabs>
        <w:rPr>
          <w:noProof/>
        </w:rPr>
      </w:pPr>
      <w:r w:rsidRPr="00D10DDA">
        <w:rPr>
          <w:rFonts w:ascii="FangSong" w:eastAsia="FangSong" w:hAnsi="FangSong"/>
          <w:noProof/>
        </w:rPr>
        <w:t>十、运营管理</w:t>
      </w:r>
      <w:r>
        <w:rPr>
          <w:noProof/>
        </w:rPr>
        <w:tab/>
      </w:r>
      <w:r>
        <w:rPr>
          <w:noProof/>
        </w:rPr>
        <w:fldChar w:fldCharType="begin"/>
      </w:r>
      <w:r>
        <w:rPr>
          <w:noProof/>
        </w:rPr>
        <w:instrText xml:space="preserve"> PAGEREF _Toc24893536 \h </w:instrText>
      </w:r>
      <w:r>
        <w:rPr>
          <w:noProof/>
        </w:rPr>
      </w:r>
      <w:r>
        <w:rPr>
          <w:noProof/>
        </w:rPr>
        <w:fldChar w:fldCharType="separate"/>
      </w:r>
      <w:r>
        <w:rPr>
          <w:noProof/>
        </w:rPr>
        <w:t>57</w:t>
      </w:r>
      <w:r>
        <w:rPr>
          <w:noProof/>
        </w:rPr>
        <w:fldChar w:fldCharType="end"/>
      </w:r>
    </w:p>
    <w:p w14:paraId="73F5E365" w14:textId="77777777" w:rsidR="00911A10" w:rsidRDefault="00911A10">
      <w:pPr>
        <w:pStyle w:val="21"/>
        <w:tabs>
          <w:tab w:val="right" w:leader="dot" w:pos="8290"/>
        </w:tabs>
        <w:rPr>
          <w:noProof/>
        </w:rPr>
      </w:pPr>
      <w:r w:rsidRPr="00D10DDA">
        <w:rPr>
          <w:rFonts w:ascii="FangSong" w:eastAsia="FangSong" w:hAnsi="FangSong"/>
          <w:noProof/>
        </w:rPr>
        <w:t>10.1运营主体</w:t>
      </w:r>
      <w:r>
        <w:rPr>
          <w:noProof/>
        </w:rPr>
        <w:tab/>
      </w:r>
      <w:r>
        <w:rPr>
          <w:noProof/>
        </w:rPr>
        <w:fldChar w:fldCharType="begin"/>
      </w:r>
      <w:r>
        <w:rPr>
          <w:noProof/>
        </w:rPr>
        <w:instrText xml:space="preserve"> PAGEREF _Toc24893537 \h </w:instrText>
      </w:r>
      <w:r>
        <w:rPr>
          <w:noProof/>
        </w:rPr>
      </w:r>
      <w:r>
        <w:rPr>
          <w:noProof/>
        </w:rPr>
        <w:fldChar w:fldCharType="separate"/>
      </w:r>
      <w:r>
        <w:rPr>
          <w:noProof/>
        </w:rPr>
        <w:t>57</w:t>
      </w:r>
      <w:r>
        <w:rPr>
          <w:noProof/>
        </w:rPr>
        <w:fldChar w:fldCharType="end"/>
      </w:r>
    </w:p>
    <w:p w14:paraId="3B219E2A" w14:textId="77777777" w:rsidR="00911A10" w:rsidRDefault="00911A10">
      <w:pPr>
        <w:pStyle w:val="21"/>
        <w:tabs>
          <w:tab w:val="right" w:leader="dot" w:pos="8290"/>
        </w:tabs>
        <w:rPr>
          <w:noProof/>
        </w:rPr>
      </w:pPr>
      <w:r w:rsidRPr="00D10DDA">
        <w:rPr>
          <w:rFonts w:ascii="FangSong" w:eastAsia="FangSong" w:hAnsi="FangSong"/>
          <w:noProof/>
        </w:rPr>
        <w:t>10.2运营团队</w:t>
      </w:r>
      <w:r>
        <w:rPr>
          <w:noProof/>
        </w:rPr>
        <w:tab/>
      </w:r>
      <w:r>
        <w:rPr>
          <w:noProof/>
        </w:rPr>
        <w:fldChar w:fldCharType="begin"/>
      </w:r>
      <w:r>
        <w:rPr>
          <w:noProof/>
        </w:rPr>
        <w:instrText xml:space="preserve"> PAGEREF _Toc24893538 \h </w:instrText>
      </w:r>
      <w:r>
        <w:rPr>
          <w:noProof/>
        </w:rPr>
      </w:r>
      <w:r>
        <w:rPr>
          <w:noProof/>
        </w:rPr>
        <w:fldChar w:fldCharType="separate"/>
      </w:r>
      <w:r>
        <w:rPr>
          <w:noProof/>
        </w:rPr>
        <w:t>60</w:t>
      </w:r>
      <w:r>
        <w:rPr>
          <w:noProof/>
        </w:rPr>
        <w:fldChar w:fldCharType="end"/>
      </w:r>
    </w:p>
    <w:p w14:paraId="13BD907F" w14:textId="77777777" w:rsidR="00911A10" w:rsidRDefault="00911A10">
      <w:pPr>
        <w:pStyle w:val="11"/>
        <w:tabs>
          <w:tab w:val="right" w:leader="dot" w:pos="8290"/>
        </w:tabs>
        <w:rPr>
          <w:noProof/>
        </w:rPr>
      </w:pPr>
      <w:r w:rsidRPr="00D10DDA">
        <w:rPr>
          <w:rFonts w:ascii="FangSong" w:eastAsia="FangSong" w:hAnsi="FangSong"/>
          <w:noProof/>
        </w:rPr>
        <w:t>十一、投资安排</w:t>
      </w:r>
      <w:r>
        <w:rPr>
          <w:noProof/>
        </w:rPr>
        <w:tab/>
      </w:r>
      <w:r>
        <w:rPr>
          <w:noProof/>
        </w:rPr>
        <w:fldChar w:fldCharType="begin"/>
      </w:r>
      <w:r>
        <w:rPr>
          <w:noProof/>
        </w:rPr>
        <w:instrText xml:space="preserve"> PAGEREF _Toc24893539 \h </w:instrText>
      </w:r>
      <w:r>
        <w:rPr>
          <w:noProof/>
        </w:rPr>
      </w:r>
      <w:r>
        <w:rPr>
          <w:noProof/>
        </w:rPr>
        <w:fldChar w:fldCharType="separate"/>
      </w:r>
      <w:r>
        <w:rPr>
          <w:noProof/>
        </w:rPr>
        <w:t>62</w:t>
      </w:r>
      <w:r>
        <w:rPr>
          <w:noProof/>
        </w:rPr>
        <w:fldChar w:fldCharType="end"/>
      </w:r>
    </w:p>
    <w:p w14:paraId="6A5D0671" w14:textId="77777777" w:rsidR="00911A10" w:rsidRDefault="00911A10">
      <w:pPr>
        <w:pStyle w:val="21"/>
        <w:tabs>
          <w:tab w:val="right" w:leader="dot" w:pos="8290"/>
        </w:tabs>
        <w:rPr>
          <w:noProof/>
        </w:rPr>
      </w:pPr>
      <w:r w:rsidRPr="00D10DDA">
        <w:rPr>
          <w:rFonts w:ascii="FangSong" w:eastAsia="FangSong" w:hAnsi="FangSong"/>
          <w:noProof/>
        </w:rPr>
        <w:t>11.1项目总投</w:t>
      </w:r>
      <w:r>
        <w:rPr>
          <w:noProof/>
        </w:rPr>
        <w:tab/>
      </w:r>
      <w:r>
        <w:rPr>
          <w:noProof/>
        </w:rPr>
        <w:fldChar w:fldCharType="begin"/>
      </w:r>
      <w:r>
        <w:rPr>
          <w:noProof/>
        </w:rPr>
        <w:instrText xml:space="preserve"> PAGEREF _Toc24893540 \h </w:instrText>
      </w:r>
      <w:r>
        <w:rPr>
          <w:noProof/>
        </w:rPr>
      </w:r>
      <w:r>
        <w:rPr>
          <w:noProof/>
        </w:rPr>
        <w:fldChar w:fldCharType="separate"/>
      </w:r>
      <w:r>
        <w:rPr>
          <w:noProof/>
        </w:rPr>
        <w:t>62</w:t>
      </w:r>
      <w:r>
        <w:rPr>
          <w:noProof/>
        </w:rPr>
        <w:fldChar w:fldCharType="end"/>
      </w:r>
    </w:p>
    <w:p w14:paraId="0DCD00A2" w14:textId="77777777" w:rsidR="00911A10" w:rsidRDefault="00911A10">
      <w:pPr>
        <w:pStyle w:val="21"/>
        <w:tabs>
          <w:tab w:val="right" w:leader="dot" w:pos="8290"/>
        </w:tabs>
        <w:rPr>
          <w:noProof/>
        </w:rPr>
      </w:pPr>
      <w:r w:rsidRPr="00D10DDA">
        <w:rPr>
          <w:rFonts w:ascii="FangSong" w:eastAsia="FangSong" w:hAnsi="FangSong"/>
          <w:noProof/>
        </w:rPr>
        <w:t>11.2资金筹措</w:t>
      </w:r>
      <w:r>
        <w:rPr>
          <w:noProof/>
        </w:rPr>
        <w:tab/>
      </w:r>
      <w:r>
        <w:rPr>
          <w:noProof/>
        </w:rPr>
        <w:fldChar w:fldCharType="begin"/>
      </w:r>
      <w:r>
        <w:rPr>
          <w:noProof/>
        </w:rPr>
        <w:instrText xml:space="preserve"> PAGEREF _Toc24893541 \h </w:instrText>
      </w:r>
      <w:r>
        <w:rPr>
          <w:noProof/>
        </w:rPr>
      </w:r>
      <w:r>
        <w:rPr>
          <w:noProof/>
        </w:rPr>
        <w:fldChar w:fldCharType="separate"/>
      </w:r>
      <w:r>
        <w:rPr>
          <w:noProof/>
        </w:rPr>
        <w:t>63</w:t>
      </w:r>
      <w:r>
        <w:rPr>
          <w:noProof/>
        </w:rPr>
        <w:fldChar w:fldCharType="end"/>
      </w:r>
    </w:p>
    <w:p w14:paraId="0C9E09B1" w14:textId="77777777" w:rsidR="00911A10" w:rsidRDefault="00911A10">
      <w:pPr>
        <w:pStyle w:val="11"/>
        <w:tabs>
          <w:tab w:val="right" w:leader="dot" w:pos="8290"/>
        </w:tabs>
        <w:rPr>
          <w:noProof/>
        </w:rPr>
      </w:pPr>
      <w:r w:rsidRPr="00D10DDA">
        <w:rPr>
          <w:rFonts w:ascii="FangSong" w:eastAsia="FangSong" w:hAnsi="FangSong"/>
          <w:noProof/>
        </w:rPr>
        <w:t>十二、财务分析</w:t>
      </w:r>
      <w:r>
        <w:rPr>
          <w:noProof/>
        </w:rPr>
        <w:tab/>
      </w:r>
      <w:r>
        <w:rPr>
          <w:noProof/>
        </w:rPr>
        <w:fldChar w:fldCharType="begin"/>
      </w:r>
      <w:r>
        <w:rPr>
          <w:noProof/>
        </w:rPr>
        <w:instrText xml:space="preserve"> PAGEREF _Toc24893542 \h </w:instrText>
      </w:r>
      <w:r>
        <w:rPr>
          <w:noProof/>
        </w:rPr>
      </w:r>
      <w:r>
        <w:rPr>
          <w:noProof/>
        </w:rPr>
        <w:fldChar w:fldCharType="separate"/>
      </w:r>
      <w:r>
        <w:rPr>
          <w:noProof/>
        </w:rPr>
        <w:t>64</w:t>
      </w:r>
      <w:r>
        <w:rPr>
          <w:noProof/>
        </w:rPr>
        <w:fldChar w:fldCharType="end"/>
      </w:r>
    </w:p>
    <w:p w14:paraId="25E67FAD" w14:textId="77777777" w:rsidR="00911A10" w:rsidRDefault="00911A10">
      <w:pPr>
        <w:pStyle w:val="21"/>
        <w:tabs>
          <w:tab w:val="right" w:leader="dot" w:pos="8290"/>
        </w:tabs>
        <w:rPr>
          <w:noProof/>
        </w:rPr>
      </w:pPr>
      <w:r w:rsidRPr="00D10DDA">
        <w:rPr>
          <w:rFonts w:ascii="FangSong" w:eastAsia="FangSong" w:hAnsi="FangSong"/>
          <w:noProof/>
        </w:rPr>
        <w:t>12.1定价分析</w:t>
      </w:r>
      <w:r>
        <w:rPr>
          <w:noProof/>
        </w:rPr>
        <w:tab/>
      </w:r>
      <w:r>
        <w:rPr>
          <w:noProof/>
        </w:rPr>
        <w:fldChar w:fldCharType="begin"/>
      </w:r>
      <w:r>
        <w:rPr>
          <w:noProof/>
        </w:rPr>
        <w:instrText xml:space="preserve"> PAGEREF _Toc24893543 \h </w:instrText>
      </w:r>
      <w:r>
        <w:rPr>
          <w:noProof/>
        </w:rPr>
      </w:r>
      <w:r>
        <w:rPr>
          <w:noProof/>
        </w:rPr>
        <w:fldChar w:fldCharType="separate"/>
      </w:r>
      <w:r>
        <w:rPr>
          <w:noProof/>
        </w:rPr>
        <w:t>64</w:t>
      </w:r>
      <w:r>
        <w:rPr>
          <w:noProof/>
        </w:rPr>
        <w:fldChar w:fldCharType="end"/>
      </w:r>
    </w:p>
    <w:p w14:paraId="16BCE86A" w14:textId="77777777" w:rsidR="00911A10" w:rsidRDefault="00911A10">
      <w:pPr>
        <w:pStyle w:val="21"/>
        <w:tabs>
          <w:tab w:val="right" w:leader="dot" w:pos="8290"/>
        </w:tabs>
        <w:rPr>
          <w:noProof/>
        </w:rPr>
      </w:pPr>
      <w:r w:rsidRPr="00D10DDA">
        <w:rPr>
          <w:rFonts w:ascii="FangSong" w:eastAsia="FangSong" w:hAnsi="FangSong"/>
          <w:noProof/>
        </w:rPr>
        <w:t>12.2销售分析</w:t>
      </w:r>
      <w:r>
        <w:rPr>
          <w:noProof/>
        </w:rPr>
        <w:tab/>
      </w:r>
      <w:r>
        <w:rPr>
          <w:noProof/>
        </w:rPr>
        <w:fldChar w:fldCharType="begin"/>
      </w:r>
      <w:r>
        <w:rPr>
          <w:noProof/>
        </w:rPr>
        <w:instrText xml:space="preserve"> PAGEREF _Toc24893544 \h </w:instrText>
      </w:r>
      <w:r>
        <w:rPr>
          <w:noProof/>
        </w:rPr>
      </w:r>
      <w:r>
        <w:rPr>
          <w:noProof/>
        </w:rPr>
        <w:fldChar w:fldCharType="separate"/>
      </w:r>
      <w:r>
        <w:rPr>
          <w:noProof/>
        </w:rPr>
        <w:t>65</w:t>
      </w:r>
      <w:r>
        <w:rPr>
          <w:noProof/>
        </w:rPr>
        <w:fldChar w:fldCharType="end"/>
      </w:r>
    </w:p>
    <w:p w14:paraId="682CF8CE" w14:textId="77777777" w:rsidR="00911A10" w:rsidRDefault="00911A10">
      <w:pPr>
        <w:pStyle w:val="21"/>
        <w:tabs>
          <w:tab w:val="right" w:leader="dot" w:pos="8290"/>
        </w:tabs>
        <w:rPr>
          <w:noProof/>
        </w:rPr>
      </w:pPr>
      <w:r w:rsidRPr="00D10DDA">
        <w:rPr>
          <w:rFonts w:ascii="FangSong" w:eastAsia="FangSong" w:hAnsi="FangSong"/>
          <w:noProof/>
        </w:rPr>
        <w:t>12.3现金流分析</w:t>
      </w:r>
      <w:r>
        <w:rPr>
          <w:noProof/>
        </w:rPr>
        <w:tab/>
      </w:r>
      <w:r>
        <w:rPr>
          <w:noProof/>
        </w:rPr>
        <w:fldChar w:fldCharType="begin"/>
      </w:r>
      <w:r>
        <w:rPr>
          <w:noProof/>
        </w:rPr>
        <w:instrText xml:space="preserve"> PAGEREF _Toc24893545 \h </w:instrText>
      </w:r>
      <w:r>
        <w:rPr>
          <w:noProof/>
        </w:rPr>
      </w:r>
      <w:r>
        <w:rPr>
          <w:noProof/>
        </w:rPr>
        <w:fldChar w:fldCharType="separate"/>
      </w:r>
      <w:r>
        <w:rPr>
          <w:noProof/>
        </w:rPr>
        <w:t>65</w:t>
      </w:r>
      <w:r>
        <w:rPr>
          <w:noProof/>
        </w:rPr>
        <w:fldChar w:fldCharType="end"/>
      </w:r>
    </w:p>
    <w:p w14:paraId="2051EFEC" w14:textId="77777777" w:rsidR="00911A10" w:rsidRDefault="00911A10">
      <w:pPr>
        <w:pStyle w:val="11"/>
        <w:tabs>
          <w:tab w:val="right" w:leader="dot" w:pos="8290"/>
        </w:tabs>
        <w:rPr>
          <w:noProof/>
        </w:rPr>
      </w:pPr>
      <w:r w:rsidRPr="00D10DDA">
        <w:rPr>
          <w:rFonts w:ascii="FangSong" w:eastAsia="FangSong" w:hAnsi="FangSong"/>
          <w:noProof/>
        </w:rPr>
        <w:lastRenderedPageBreak/>
        <w:t>十三、融资安排</w:t>
      </w:r>
      <w:r>
        <w:rPr>
          <w:noProof/>
        </w:rPr>
        <w:tab/>
      </w:r>
      <w:r>
        <w:rPr>
          <w:noProof/>
        </w:rPr>
        <w:fldChar w:fldCharType="begin"/>
      </w:r>
      <w:r>
        <w:rPr>
          <w:noProof/>
        </w:rPr>
        <w:instrText xml:space="preserve"> PAGEREF _Toc24893546 \h </w:instrText>
      </w:r>
      <w:r>
        <w:rPr>
          <w:noProof/>
        </w:rPr>
      </w:r>
      <w:r>
        <w:rPr>
          <w:noProof/>
        </w:rPr>
        <w:fldChar w:fldCharType="separate"/>
      </w:r>
      <w:r>
        <w:rPr>
          <w:noProof/>
        </w:rPr>
        <w:t>66</w:t>
      </w:r>
      <w:r>
        <w:rPr>
          <w:noProof/>
        </w:rPr>
        <w:fldChar w:fldCharType="end"/>
      </w:r>
    </w:p>
    <w:p w14:paraId="026DF898" w14:textId="77777777" w:rsidR="00911A10" w:rsidRDefault="00911A10">
      <w:pPr>
        <w:pStyle w:val="21"/>
        <w:tabs>
          <w:tab w:val="right" w:leader="dot" w:pos="8290"/>
        </w:tabs>
        <w:rPr>
          <w:noProof/>
        </w:rPr>
      </w:pPr>
      <w:r w:rsidRPr="00D10DDA">
        <w:rPr>
          <w:rFonts w:ascii="FangSong" w:eastAsia="FangSong" w:hAnsi="FangSong"/>
          <w:noProof/>
        </w:rPr>
        <w:t>13.1融资规划</w:t>
      </w:r>
      <w:r>
        <w:rPr>
          <w:noProof/>
        </w:rPr>
        <w:tab/>
      </w:r>
      <w:r>
        <w:rPr>
          <w:noProof/>
        </w:rPr>
        <w:fldChar w:fldCharType="begin"/>
      </w:r>
      <w:r>
        <w:rPr>
          <w:noProof/>
        </w:rPr>
        <w:instrText xml:space="preserve"> PAGEREF _Toc24893547 \h </w:instrText>
      </w:r>
      <w:r>
        <w:rPr>
          <w:noProof/>
        </w:rPr>
      </w:r>
      <w:r>
        <w:rPr>
          <w:noProof/>
        </w:rPr>
        <w:fldChar w:fldCharType="separate"/>
      </w:r>
      <w:r>
        <w:rPr>
          <w:noProof/>
        </w:rPr>
        <w:t>66</w:t>
      </w:r>
      <w:r>
        <w:rPr>
          <w:noProof/>
        </w:rPr>
        <w:fldChar w:fldCharType="end"/>
      </w:r>
    </w:p>
    <w:p w14:paraId="4FE69A1D" w14:textId="77777777" w:rsidR="00911A10" w:rsidRDefault="00911A10">
      <w:pPr>
        <w:pStyle w:val="21"/>
        <w:tabs>
          <w:tab w:val="right" w:leader="dot" w:pos="8290"/>
        </w:tabs>
        <w:rPr>
          <w:noProof/>
        </w:rPr>
      </w:pPr>
      <w:r w:rsidRPr="00D10DDA">
        <w:rPr>
          <w:rFonts w:ascii="FangSong" w:eastAsia="FangSong" w:hAnsi="FangSong"/>
          <w:noProof/>
        </w:rPr>
        <w:t>13.2还款计划</w:t>
      </w:r>
      <w:r>
        <w:rPr>
          <w:noProof/>
        </w:rPr>
        <w:tab/>
      </w:r>
      <w:r>
        <w:rPr>
          <w:noProof/>
        </w:rPr>
        <w:fldChar w:fldCharType="begin"/>
      </w:r>
      <w:r>
        <w:rPr>
          <w:noProof/>
        </w:rPr>
        <w:instrText xml:space="preserve"> PAGEREF _Toc24893548 \h </w:instrText>
      </w:r>
      <w:r>
        <w:rPr>
          <w:noProof/>
        </w:rPr>
      </w:r>
      <w:r>
        <w:rPr>
          <w:noProof/>
        </w:rPr>
        <w:fldChar w:fldCharType="separate"/>
      </w:r>
      <w:r>
        <w:rPr>
          <w:noProof/>
        </w:rPr>
        <w:t>67</w:t>
      </w:r>
      <w:r>
        <w:rPr>
          <w:noProof/>
        </w:rPr>
        <w:fldChar w:fldCharType="end"/>
      </w:r>
    </w:p>
    <w:p w14:paraId="5CB31B89" w14:textId="77777777" w:rsidR="00911A10" w:rsidRDefault="00911A10">
      <w:pPr>
        <w:pStyle w:val="21"/>
        <w:tabs>
          <w:tab w:val="right" w:leader="dot" w:pos="8290"/>
        </w:tabs>
        <w:rPr>
          <w:noProof/>
        </w:rPr>
      </w:pPr>
      <w:r w:rsidRPr="00D10DDA">
        <w:rPr>
          <w:rFonts w:ascii="FangSong" w:eastAsia="FangSong" w:hAnsi="FangSong"/>
          <w:noProof/>
        </w:rPr>
        <w:t>13.3还款来源</w:t>
      </w:r>
      <w:r>
        <w:rPr>
          <w:noProof/>
        </w:rPr>
        <w:tab/>
      </w:r>
      <w:r>
        <w:rPr>
          <w:noProof/>
        </w:rPr>
        <w:fldChar w:fldCharType="begin"/>
      </w:r>
      <w:r>
        <w:rPr>
          <w:noProof/>
        </w:rPr>
        <w:instrText xml:space="preserve"> PAGEREF _Toc24893549 \h </w:instrText>
      </w:r>
      <w:r>
        <w:rPr>
          <w:noProof/>
        </w:rPr>
      </w:r>
      <w:r>
        <w:rPr>
          <w:noProof/>
        </w:rPr>
        <w:fldChar w:fldCharType="separate"/>
      </w:r>
      <w:r>
        <w:rPr>
          <w:noProof/>
        </w:rPr>
        <w:t>67</w:t>
      </w:r>
      <w:r>
        <w:rPr>
          <w:noProof/>
        </w:rPr>
        <w:fldChar w:fldCharType="end"/>
      </w:r>
    </w:p>
    <w:p w14:paraId="5E342ECF" w14:textId="77777777" w:rsidR="00911A10" w:rsidRDefault="00911A10">
      <w:pPr>
        <w:pStyle w:val="11"/>
        <w:tabs>
          <w:tab w:val="right" w:leader="dot" w:pos="8290"/>
        </w:tabs>
        <w:rPr>
          <w:noProof/>
        </w:rPr>
      </w:pPr>
      <w:r w:rsidRPr="00D10DDA">
        <w:rPr>
          <w:rFonts w:ascii="FangSong" w:eastAsia="FangSong" w:hAnsi="FangSong"/>
          <w:noProof/>
        </w:rPr>
        <w:t>十四、风险分析</w:t>
      </w:r>
      <w:r>
        <w:rPr>
          <w:noProof/>
        </w:rPr>
        <w:tab/>
      </w:r>
      <w:r>
        <w:rPr>
          <w:noProof/>
        </w:rPr>
        <w:fldChar w:fldCharType="begin"/>
      </w:r>
      <w:r>
        <w:rPr>
          <w:noProof/>
        </w:rPr>
        <w:instrText xml:space="preserve"> PAGEREF _Toc24893550 \h </w:instrText>
      </w:r>
      <w:r>
        <w:rPr>
          <w:noProof/>
        </w:rPr>
      </w:r>
      <w:r>
        <w:rPr>
          <w:noProof/>
        </w:rPr>
        <w:fldChar w:fldCharType="separate"/>
      </w:r>
      <w:r>
        <w:rPr>
          <w:noProof/>
        </w:rPr>
        <w:t>69</w:t>
      </w:r>
      <w:r>
        <w:rPr>
          <w:noProof/>
        </w:rPr>
        <w:fldChar w:fldCharType="end"/>
      </w:r>
    </w:p>
    <w:p w14:paraId="12F4A573" w14:textId="77777777" w:rsidR="00911A10" w:rsidRDefault="00911A10">
      <w:pPr>
        <w:pStyle w:val="21"/>
        <w:tabs>
          <w:tab w:val="right" w:leader="dot" w:pos="8290"/>
        </w:tabs>
        <w:rPr>
          <w:noProof/>
        </w:rPr>
      </w:pPr>
      <w:r w:rsidRPr="00D10DDA">
        <w:rPr>
          <w:rFonts w:ascii="FangSong" w:eastAsia="FangSong" w:hAnsi="FangSong"/>
          <w:noProof/>
        </w:rPr>
        <w:t>14.1市场风险</w:t>
      </w:r>
      <w:r>
        <w:rPr>
          <w:noProof/>
        </w:rPr>
        <w:tab/>
      </w:r>
      <w:r>
        <w:rPr>
          <w:noProof/>
        </w:rPr>
        <w:fldChar w:fldCharType="begin"/>
      </w:r>
      <w:r>
        <w:rPr>
          <w:noProof/>
        </w:rPr>
        <w:instrText xml:space="preserve"> PAGEREF _Toc24893551 \h </w:instrText>
      </w:r>
      <w:r>
        <w:rPr>
          <w:noProof/>
        </w:rPr>
      </w:r>
      <w:r>
        <w:rPr>
          <w:noProof/>
        </w:rPr>
        <w:fldChar w:fldCharType="separate"/>
      </w:r>
      <w:r>
        <w:rPr>
          <w:noProof/>
        </w:rPr>
        <w:t>69</w:t>
      </w:r>
      <w:r>
        <w:rPr>
          <w:noProof/>
        </w:rPr>
        <w:fldChar w:fldCharType="end"/>
      </w:r>
    </w:p>
    <w:p w14:paraId="4E7BF5FB" w14:textId="77777777" w:rsidR="00911A10" w:rsidRDefault="00911A10">
      <w:pPr>
        <w:pStyle w:val="21"/>
        <w:tabs>
          <w:tab w:val="right" w:leader="dot" w:pos="8290"/>
        </w:tabs>
        <w:rPr>
          <w:noProof/>
        </w:rPr>
      </w:pPr>
      <w:r w:rsidRPr="00D10DDA">
        <w:rPr>
          <w:rFonts w:ascii="FangSong" w:eastAsia="FangSong" w:hAnsi="FangSong"/>
          <w:noProof/>
        </w:rPr>
        <w:t>14.2经营风险</w:t>
      </w:r>
      <w:r>
        <w:rPr>
          <w:noProof/>
        </w:rPr>
        <w:tab/>
      </w:r>
      <w:r>
        <w:rPr>
          <w:noProof/>
        </w:rPr>
        <w:fldChar w:fldCharType="begin"/>
      </w:r>
      <w:r>
        <w:rPr>
          <w:noProof/>
        </w:rPr>
        <w:instrText xml:space="preserve"> PAGEREF _Toc24893552 \h </w:instrText>
      </w:r>
      <w:r>
        <w:rPr>
          <w:noProof/>
        </w:rPr>
      </w:r>
      <w:r>
        <w:rPr>
          <w:noProof/>
        </w:rPr>
        <w:fldChar w:fldCharType="separate"/>
      </w:r>
      <w:r>
        <w:rPr>
          <w:noProof/>
        </w:rPr>
        <w:t>69</w:t>
      </w:r>
      <w:r>
        <w:rPr>
          <w:noProof/>
        </w:rPr>
        <w:fldChar w:fldCharType="end"/>
      </w:r>
    </w:p>
    <w:p w14:paraId="049889C9" w14:textId="77777777" w:rsidR="00911A10" w:rsidRDefault="00911A10">
      <w:pPr>
        <w:pStyle w:val="21"/>
        <w:tabs>
          <w:tab w:val="right" w:leader="dot" w:pos="8290"/>
        </w:tabs>
        <w:rPr>
          <w:noProof/>
        </w:rPr>
      </w:pPr>
      <w:r w:rsidRPr="00D10DDA">
        <w:rPr>
          <w:rFonts w:ascii="FangSong" w:eastAsia="FangSong" w:hAnsi="FangSong"/>
          <w:noProof/>
        </w:rPr>
        <w:t>14.3资金风险</w:t>
      </w:r>
      <w:r>
        <w:rPr>
          <w:noProof/>
        </w:rPr>
        <w:tab/>
      </w:r>
      <w:r>
        <w:rPr>
          <w:noProof/>
        </w:rPr>
        <w:fldChar w:fldCharType="begin"/>
      </w:r>
      <w:r>
        <w:rPr>
          <w:noProof/>
        </w:rPr>
        <w:instrText xml:space="preserve"> PAGEREF _Toc24893553 \h </w:instrText>
      </w:r>
      <w:r>
        <w:rPr>
          <w:noProof/>
        </w:rPr>
      </w:r>
      <w:r>
        <w:rPr>
          <w:noProof/>
        </w:rPr>
        <w:fldChar w:fldCharType="separate"/>
      </w:r>
      <w:r>
        <w:rPr>
          <w:noProof/>
        </w:rPr>
        <w:t>70</w:t>
      </w:r>
      <w:r>
        <w:rPr>
          <w:noProof/>
        </w:rPr>
        <w:fldChar w:fldCharType="end"/>
      </w:r>
    </w:p>
    <w:p w14:paraId="6AEA9133" w14:textId="77777777" w:rsidR="00911A10" w:rsidRDefault="00911A10">
      <w:pPr>
        <w:pStyle w:val="21"/>
        <w:tabs>
          <w:tab w:val="right" w:leader="dot" w:pos="8290"/>
        </w:tabs>
        <w:rPr>
          <w:noProof/>
        </w:rPr>
      </w:pPr>
      <w:r w:rsidRPr="00D10DDA">
        <w:rPr>
          <w:rFonts w:ascii="FangSong" w:eastAsia="FangSong" w:hAnsi="FangSong"/>
          <w:noProof/>
        </w:rPr>
        <w:t>14.4管理风险</w:t>
      </w:r>
      <w:r>
        <w:rPr>
          <w:noProof/>
        </w:rPr>
        <w:tab/>
      </w:r>
      <w:r>
        <w:rPr>
          <w:noProof/>
        </w:rPr>
        <w:fldChar w:fldCharType="begin"/>
      </w:r>
      <w:r>
        <w:rPr>
          <w:noProof/>
        </w:rPr>
        <w:instrText xml:space="preserve"> PAGEREF _Toc24893554 \h </w:instrText>
      </w:r>
      <w:r>
        <w:rPr>
          <w:noProof/>
        </w:rPr>
      </w:r>
      <w:r>
        <w:rPr>
          <w:noProof/>
        </w:rPr>
        <w:fldChar w:fldCharType="separate"/>
      </w:r>
      <w:r>
        <w:rPr>
          <w:noProof/>
        </w:rPr>
        <w:t>71</w:t>
      </w:r>
      <w:r>
        <w:rPr>
          <w:noProof/>
        </w:rPr>
        <w:fldChar w:fldCharType="end"/>
      </w:r>
    </w:p>
    <w:p w14:paraId="43D13FAC" w14:textId="77777777" w:rsidR="00911A10" w:rsidRDefault="00911A10">
      <w:pPr>
        <w:pStyle w:val="11"/>
        <w:tabs>
          <w:tab w:val="right" w:leader="dot" w:pos="8290"/>
        </w:tabs>
        <w:rPr>
          <w:noProof/>
        </w:rPr>
      </w:pPr>
      <w:r w:rsidRPr="00D10DDA">
        <w:rPr>
          <w:rFonts w:ascii="FangSong" w:eastAsia="FangSong" w:hAnsi="FangSong"/>
          <w:noProof/>
        </w:rPr>
        <w:t>十五、结论</w:t>
      </w:r>
      <w:r>
        <w:rPr>
          <w:noProof/>
        </w:rPr>
        <w:tab/>
      </w:r>
      <w:r>
        <w:rPr>
          <w:noProof/>
        </w:rPr>
        <w:fldChar w:fldCharType="begin"/>
      </w:r>
      <w:r>
        <w:rPr>
          <w:noProof/>
        </w:rPr>
        <w:instrText xml:space="preserve"> PAGEREF _Toc24893555 \h </w:instrText>
      </w:r>
      <w:r>
        <w:rPr>
          <w:noProof/>
        </w:rPr>
      </w:r>
      <w:r>
        <w:rPr>
          <w:noProof/>
        </w:rPr>
        <w:fldChar w:fldCharType="separate"/>
      </w:r>
      <w:r>
        <w:rPr>
          <w:noProof/>
        </w:rPr>
        <w:t>71</w:t>
      </w:r>
      <w:r>
        <w:rPr>
          <w:noProof/>
        </w:rPr>
        <w:fldChar w:fldCharType="end"/>
      </w:r>
    </w:p>
    <w:p w14:paraId="1609273C" w14:textId="77777777" w:rsidR="00C936AF" w:rsidRDefault="0039786C" w:rsidP="002A2DB5">
      <w:pPr>
        <w:pStyle w:val="1"/>
        <w:spacing w:line="360" w:lineRule="auto"/>
        <w:rPr>
          <w:rFonts w:ascii="FangSong" w:eastAsia="FangSong" w:hAnsi="FangSong"/>
        </w:rPr>
      </w:pPr>
      <w:r w:rsidRPr="002A2DB5">
        <w:rPr>
          <w:rFonts w:ascii="FangSong" w:eastAsia="FangSong" w:hAnsi="FangSong"/>
          <w:highlight w:val="yellow"/>
        </w:rPr>
        <w:fldChar w:fldCharType="end"/>
      </w:r>
    </w:p>
    <w:p w14:paraId="50E60A5C" w14:textId="77777777" w:rsidR="00C936AF" w:rsidRDefault="00C936AF" w:rsidP="002A2DB5">
      <w:pPr>
        <w:pStyle w:val="1"/>
        <w:spacing w:line="360" w:lineRule="auto"/>
        <w:rPr>
          <w:rFonts w:ascii="FangSong" w:eastAsia="FangSong" w:hAnsi="FangSong"/>
        </w:rPr>
      </w:pPr>
    </w:p>
    <w:p w14:paraId="24285EBD" w14:textId="77777777" w:rsidR="00C936AF" w:rsidRDefault="00C936AF" w:rsidP="002A2DB5">
      <w:pPr>
        <w:pStyle w:val="1"/>
        <w:spacing w:line="360" w:lineRule="auto"/>
        <w:rPr>
          <w:rFonts w:ascii="FangSong" w:eastAsia="FangSong" w:hAnsi="FangSong"/>
        </w:rPr>
      </w:pPr>
    </w:p>
    <w:p w14:paraId="3BC7410B" w14:textId="77777777" w:rsidR="00C936AF" w:rsidRDefault="00C936AF" w:rsidP="002A2DB5">
      <w:pPr>
        <w:pStyle w:val="1"/>
        <w:spacing w:line="360" w:lineRule="auto"/>
        <w:rPr>
          <w:rFonts w:ascii="FangSong" w:eastAsia="FangSong" w:hAnsi="FangSong"/>
        </w:rPr>
      </w:pPr>
    </w:p>
    <w:p w14:paraId="4366704E" w14:textId="77777777" w:rsidR="00C936AF" w:rsidRDefault="00C936AF" w:rsidP="002A2DB5">
      <w:pPr>
        <w:pStyle w:val="1"/>
        <w:spacing w:line="360" w:lineRule="auto"/>
        <w:rPr>
          <w:rFonts w:ascii="FangSong" w:eastAsia="FangSong" w:hAnsi="FangSong"/>
        </w:rPr>
      </w:pPr>
    </w:p>
    <w:p w14:paraId="327B0ED3" w14:textId="77777777" w:rsidR="00C936AF" w:rsidRDefault="00C936AF" w:rsidP="00C936AF"/>
    <w:p w14:paraId="4BEF32C2" w14:textId="77777777" w:rsidR="00C936AF" w:rsidRDefault="00C936AF" w:rsidP="002A2DB5">
      <w:pPr>
        <w:pStyle w:val="1"/>
        <w:spacing w:line="360" w:lineRule="auto"/>
        <w:rPr>
          <w:rFonts w:ascii="Times New Roman" w:hAnsi="Times New Roman" w:cs="Times New Roman"/>
          <w:b w:val="0"/>
          <w:bCs w:val="0"/>
          <w:kern w:val="0"/>
          <w:sz w:val="24"/>
          <w:szCs w:val="24"/>
        </w:rPr>
      </w:pPr>
    </w:p>
    <w:p w14:paraId="62F79EE7" w14:textId="77777777" w:rsidR="00C936AF" w:rsidRDefault="00C936AF" w:rsidP="00C936AF"/>
    <w:p w14:paraId="5097FCED" w14:textId="77777777" w:rsidR="00C936AF" w:rsidRDefault="00C936AF" w:rsidP="00C936AF"/>
    <w:p w14:paraId="257E2527" w14:textId="77777777" w:rsidR="00CA6943" w:rsidRDefault="00CA6943" w:rsidP="00C936AF"/>
    <w:p w14:paraId="7364008A" w14:textId="77777777" w:rsidR="00CA6943" w:rsidRPr="00C936AF" w:rsidRDefault="00CA6943" w:rsidP="00C936AF"/>
    <w:p w14:paraId="3AACFA5B" w14:textId="7832D36E" w:rsidR="00A51F5D" w:rsidRPr="009D4D6E" w:rsidRDefault="00B63664" w:rsidP="002A2DB5">
      <w:pPr>
        <w:pStyle w:val="1"/>
        <w:spacing w:line="360" w:lineRule="auto"/>
        <w:rPr>
          <w:rFonts w:ascii="FangSong" w:eastAsia="FangSong" w:hAnsi="FangSong"/>
        </w:rPr>
      </w:pPr>
      <w:bookmarkStart w:id="0" w:name="_Toc24893504"/>
      <w:r w:rsidRPr="009D4D6E">
        <w:rPr>
          <w:rFonts w:ascii="FangSong" w:eastAsia="FangSong" w:hAnsi="FangSong" w:hint="eastAsia"/>
        </w:rPr>
        <w:t>一、</w:t>
      </w:r>
      <w:r w:rsidR="00290CE5" w:rsidRPr="009D4D6E">
        <w:rPr>
          <w:rFonts w:ascii="FangSong" w:eastAsia="FangSong" w:hAnsi="FangSong" w:hint="eastAsia"/>
        </w:rPr>
        <w:t>项目背景</w:t>
      </w:r>
      <w:bookmarkEnd w:id="0"/>
    </w:p>
    <w:p w14:paraId="4CAA4E45" w14:textId="77777777" w:rsidR="009D4D6E" w:rsidRDefault="00033986" w:rsidP="009D4D6E">
      <w:pPr>
        <w:pStyle w:val="a3"/>
        <w:spacing w:line="360" w:lineRule="auto"/>
        <w:ind w:left="720" w:firstLineChars="0" w:firstLine="0"/>
        <w:rPr>
          <w:rFonts w:ascii="FangSong" w:eastAsia="FangSong" w:hAnsi="FangSong"/>
          <w:sz w:val="28"/>
          <w:szCs w:val="28"/>
        </w:rPr>
      </w:pPr>
      <w:r w:rsidRPr="009D4D6E">
        <w:rPr>
          <w:rFonts w:ascii="FangSong" w:eastAsia="FangSong" w:hAnsi="FangSong" w:hint="eastAsia"/>
          <w:sz w:val="28"/>
          <w:szCs w:val="28"/>
        </w:rPr>
        <w:t>随着国家取消养老机构许可，养老地产行业市场迎来全面放开。</w:t>
      </w:r>
    </w:p>
    <w:p w14:paraId="7D157DCD" w14:textId="3C8979A5" w:rsidR="00033986" w:rsidRPr="009D4D6E" w:rsidRDefault="00033986" w:rsidP="009D4D6E">
      <w:pPr>
        <w:spacing w:line="360" w:lineRule="auto"/>
        <w:rPr>
          <w:rFonts w:ascii="FangSong" w:eastAsia="FangSong" w:hAnsi="FangSong"/>
          <w:sz w:val="28"/>
          <w:szCs w:val="28"/>
        </w:rPr>
      </w:pPr>
      <w:r w:rsidRPr="009D4D6E">
        <w:rPr>
          <w:rFonts w:ascii="FangSong" w:eastAsia="FangSong" w:hAnsi="FangSong" w:hint="eastAsia"/>
          <w:sz w:val="28"/>
          <w:szCs w:val="28"/>
        </w:rPr>
        <w:t>根据前瞻产业发布的《中国养老地产行业发展前景与投资机会分析报告》显示，在一系列医养结合政策支持下，以及从近期地产商、保险机构及其他上市企业在养老地产布局的动作来看，地产、医疗、保险三方资源整合趋势明显。未来，中国养老地产行业呈现多样化发展趋势，在规划设计时，建筑设计要充分考虑老年人日常生活起居的便利性，文化体育娱乐方面的设备必不可少，同时，医疗设施也会有一定要求。</w:t>
      </w:r>
    </w:p>
    <w:p w14:paraId="182222D6" w14:textId="77777777" w:rsidR="009D4D6E" w:rsidRDefault="00033986" w:rsidP="009D4D6E">
      <w:pPr>
        <w:pStyle w:val="a3"/>
        <w:spacing w:line="360" w:lineRule="auto"/>
        <w:ind w:left="720" w:firstLineChars="0" w:firstLine="0"/>
        <w:rPr>
          <w:rFonts w:ascii="FangSong" w:eastAsia="FangSong" w:hAnsi="FangSong"/>
          <w:sz w:val="28"/>
          <w:szCs w:val="28"/>
        </w:rPr>
      </w:pPr>
      <w:r w:rsidRPr="009D4D6E">
        <w:rPr>
          <w:rFonts w:ascii="FangSong" w:eastAsia="FangSong" w:hAnsi="FangSong" w:hint="eastAsia"/>
          <w:sz w:val="28"/>
          <w:szCs w:val="28"/>
        </w:rPr>
        <w:t>近年来养老地产逐渐盛行，一方面是中国人口老龄化，截至</w:t>
      </w:r>
    </w:p>
    <w:p w14:paraId="4D4D5274" w14:textId="709F3625" w:rsidR="00033986" w:rsidRPr="009D4D6E" w:rsidRDefault="00033986" w:rsidP="009D4D6E">
      <w:pPr>
        <w:spacing w:line="360" w:lineRule="auto"/>
        <w:rPr>
          <w:rFonts w:ascii="FangSong" w:eastAsia="FangSong" w:hAnsi="FangSong"/>
          <w:sz w:val="28"/>
          <w:szCs w:val="28"/>
        </w:rPr>
      </w:pPr>
      <w:r w:rsidRPr="009D4D6E">
        <w:rPr>
          <w:rFonts w:ascii="FangSong" w:eastAsia="FangSong" w:hAnsi="FangSong" w:hint="eastAsia"/>
          <w:sz w:val="28"/>
          <w:szCs w:val="28"/>
        </w:rPr>
        <w:t>2018年底中国65岁以上的老人1.67亿，占总人口比例从11.4%上升至11.9%，同时出生率为10.94%，下降至历史最低点，人口老龄化加速。另一方面是中国公办养老机构供给不足，需要寻求社会力量、组织、通过市场消费解决中国日益严峻的养老问题。</w:t>
      </w:r>
    </w:p>
    <w:p w14:paraId="482D17C2" w14:textId="77777777" w:rsidR="009D4D6E" w:rsidRDefault="00033986" w:rsidP="009D4D6E">
      <w:pPr>
        <w:pStyle w:val="a3"/>
        <w:spacing w:line="360" w:lineRule="auto"/>
        <w:ind w:left="720" w:firstLineChars="0" w:firstLine="0"/>
        <w:rPr>
          <w:rFonts w:ascii="FangSong" w:eastAsia="FangSong" w:hAnsi="FangSong"/>
          <w:sz w:val="28"/>
          <w:szCs w:val="28"/>
        </w:rPr>
      </w:pPr>
      <w:r w:rsidRPr="009D4D6E">
        <w:rPr>
          <w:rFonts w:ascii="FangSong" w:eastAsia="FangSong" w:hAnsi="FangSong" w:hint="eastAsia"/>
          <w:sz w:val="28"/>
          <w:szCs w:val="28"/>
        </w:rPr>
        <w:t>2018年9月24日，国务院发布《完善促进消费体制机制实施</w:t>
      </w:r>
    </w:p>
    <w:p w14:paraId="608FD50E" w14:textId="269FAC73" w:rsidR="00033986" w:rsidRPr="009D4D6E" w:rsidRDefault="00033986" w:rsidP="009D4D6E">
      <w:pPr>
        <w:spacing w:line="360" w:lineRule="auto"/>
        <w:rPr>
          <w:rFonts w:ascii="FangSong" w:eastAsia="FangSong" w:hAnsi="FangSong"/>
          <w:sz w:val="28"/>
          <w:szCs w:val="28"/>
        </w:rPr>
      </w:pPr>
      <w:r w:rsidRPr="009D4D6E">
        <w:rPr>
          <w:rFonts w:ascii="FangSong" w:eastAsia="FangSong" w:hAnsi="FangSong" w:hint="eastAsia"/>
          <w:sz w:val="28"/>
          <w:szCs w:val="28"/>
        </w:rPr>
        <w:t>方案（2018-2020年）》，取消了养老机构许可，加快推进原有公办养老机构转为企业或者开展公办民营，支持各类主体参与市场供给。随着养老机</w:t>
      </w:r>
      <w:r w:rsidR="009F463A">
        <w:rPr>
          <w:rFonts w:ascii="FangSong" w:eastAsia="FangSong" w:hAnsi="FangSong" w:hint="eastAsia"/>
          <w:sz w:val="28"/>
          <w:szCs w:val="28"/>
        </w:rPr>
        <w:t>构设立许可全面放开，民营企业进入养老地产行业</w:t>
      </w:r>
      <w:r w:rsidR="009F463A">
        <w:rPr>
          <w:rFonts w:ascii="FangSong" w:eastAsia="FangSong" w:hAnsi="FangSong" w:hint="eastAsia"/>
          <w:sz w:val="28"/>
          <w:szCs w:val="28"/>
        </w:rPr>
        <w:lastRenderedPageBreak/>
        <w:t>设立养老机构无需报备</w:t>
      </w:r>
      <w:r w:rsidRPr="009D4D6E">
        <w:rPr>
          <w:rFonts w:ascii="FangSong" w:eastAsia="FangSong" w:hAnsi="FangSong" w:hint="eastAsia"/>
          <w:sz w:val="28"/>
          <w:szCs w:val="28"/>
        </w:rPr>
        <w:t>审批，加快了民营企业设立养老机构进程，有利于推动养老地产</w:t>
      </w:r>
      <w:r w:rsidR="009D4D6E" w:rsidRPr="009D4D6E">
        <w:rPr>
          <w:rFonts w:ascii="FangSong" w:eastAsia="FangSong" w:hAnsi="FangSong" w:hint="eastAsia"/>
          <w:sz w:val="28"/>
          <w:szCs w:val="28"/>
        </w:rPr>
        <w:t>行业发展。</w:t>
      </w:r>
    </w:p>
    <w:p w14:paraId="46CF5151" w14:textId="77777777" w:rsidR="009D4D6E" w:rsidRDefault="009D4D6E" w:rsidP="009D4D6E">
      <w:pPr>
        <w:pStyle w:val="a3"/>
        <w:spacing w:line="360" w:lineRule="auto"/>
        <w:ind w:left="720" w:firstLineChars="0" w:firstLine="0"/>
        <w:rPr>
          <w:rFonts w:ascii="FangSong" w:eastAsia="FangSong" w:hAnsi="FangSong"/>
          <w:sz w:val="28"/>
          <w:szCs w:val="28"/>
        </w:rPr>
      </w:pPr>
      <w:r w:rsidRPr="009D4D6E">
        <w:rPr>
          <w:rFonts w:ascii="FangSong" w:eastAsia="FangSong" w:hAnsi="FangSong" w:hint="eastAsia"/>
          <w:sz w:val="28"/>
          <w:szCs w:val="28"/>
        </w:rPr>
        <w:t>目前，参与养老地产建设运营主要包括传统养老机构、房地产</w:t>
      </w:r>
    </w:p>
    <w:p w14:paraId="795C1526" w14:textId="1A6F64DF" w:rsidR="00033986" w:rsidRPr="009D4D6E" w:rsidRDefault="009D4D6E" w:rsidP="009D4D6E">
      <w:pPr>
        <w:spacing w:line="360" w:lineRule="auto"/>
        <w:rPr>
          <w:rFonts w:ascii="FangSong" w:eastAsia="FangSong" w:hAnsi="FangSong"/>
          <w:sz w:val="28"/>
          <w:szCs w:val="28"/>
        </w:rPr>
      </w:pPr>
      <w:r w:rsidRPr="009D4D6E">
        <w:rPr>
          <w:rFonts w:ascii="FangSong" w:eastAsia="FangSong" w:hAnsi="FangSong" w:hint="eastAsia"/>
          <w:sz w:val="28"/>
          <w:szCs w:val="28"/>
        </w:rPr>
        <w:t>商和保险机构三大阵营。其中房地产商和保险机构进入养老地产行业时间较晚，2013年，以万科、保利、绿地首创等为主房地产开发商和以泰康、新华、国寿、太保、合众等保险企业，纷纷进入养老地产行业。</w:t>
      </w:r>
    </w:p>
    <w:p w14:paraId="6E2C5B61" w14:textId="7D1FEF30" w:rsidR="009D4D6E" w:rsidRDefault="001A2F19" w:rsidP="002A2DB5">
      <w:pPr>
        <w:spacing w:line="360" w:lineRule="auto"/>
        <w:ind w:firstLine="560"/>
        <w:rPr>
          <w:rFonts w:ascii="FangSong" w:eastAsia="FangSong" w:hAnsi="FangSong"/>
          <w:sz w:val="28"/>
          <w:szCs w:val="28"/>
        </w:rPr>
      </w:pPr>
      <w:r w:rsidRPr="00E424F0">
        <w:rPr>
          <w:rFonts w:ascii="FangSong" w:eastAsia="FangSong" w:hAnsi="FangSong" w:hint="eastAsia"/>
          <w:color w:val="FF0000"/>
          <w:sz w:val="28"/>
          <w:szCs w:val="28"/>
        </w:rPr>
        <w:t>“金岸康城”项目</w:t>
      </w:r>
      <w:r w:rsidR="009D4D6E" w:rsidRPr="00E424F0">
        <w:rPr>
          <w:rFonts w:ascii="FangSong" w:eastAsia="FangSong" w:hAnsi="FangSong" w:hint="eastAsia"/>
          <w:color w:val="FF0000"/>
          <w:sz w:val="28"/>
          <w:szCs w:val="28"/>
        </w:rPr>
        <w:t>是天津市重点</w:t>
      </w:r>
      <w:r w:rsidR="00E424F0" w:rsidRPr="00E424F0">
        <w:rPr>
          <w:rFonts w:ascii="FangSong" w:eastAsia="FangSong" w:hAnsi="FangSong" w:hint="eastAsia"/>
          <w:color w:val="FF0000"/>
          <w:sz w:val="28"/>
          <w:szCs w:val="28"/>
        </w:rPr>
        <w:t>“康养综合体”项目</w:t>
      </w:r>
      <w:r w:rsidR="009D4D6E">
        <w:rPr>
          <w:rFonts w:ascii="FangSong" w:eastAsia="FangSong" w:hAnsi="FangSong" w:hint="eastAsia"/>
          <w:sz w:val="28"/>
          <w:szCs w:val="28"/>
        </w:rPr>
        <w:t>，开发主体为</w:t>
      </w:r>
      <w:r w:rsidR="009D4D6E" w:rsidRPr="00267178">
        <w:rPr>
          <w:rFonts w:ascii="FangSong" w:eastAsia="FangSong" w:hAnsi="FangSong"/>
          <w:sz w:val="28"/>
          <w:szCs w:val="28"/>
        </w:rPr>
        <w:t>中滨城（天津）置业有限公司</w:t>
      </w:r>
      <w:r w:rsidR="009D4D6E">
        <w:rPr>
          <w:rFonts w:ascii="FangSong" w:eastAsia="FangSong" w:hAnsi="FangSong" w:hint="eastAsia"/>
          <w:sz w:val="28"/>
          <w:szCs w:val="28"/>
        </w:rPr>
        <w:t>，核心管理团队以其高度的前瞻性，于2014年取得天津市</w:t>
      </w:r>
      <w:r w:rsidR="00C9452A">
        <w:rPr>
          <w:rFonts w:ascii="FangSong" w:eastAsia="FangSong" w:hAnsi="FangSong" w:hint="eastAsia"/>
          <w:sz w:val="28"/>
          <w:szCs w:val="28"/>
        </w:rPr>
        <w:t>发改委</w:t>
      </w:r>
      <w:r w:rsidR="009D4D6E">
        <w:rPr>
          <w:rFonts w:ascii="FangSong" w:eastAsia="FangSong" w:hAnsi="FangSong" w:hint="eastAsia"/>
          <w:sz w:val="28"/>
          <w:szCs w:val="28"/>
        </w:rPr>
        <w:t>颁发的《天津市</w:t>
      </w:r>
      <w:r w:rsidR="00C9452A">
        <w:rPr>
          <w:rFonts w:ascii="FangSong" w:eastAsia="FangSong" w:hAnsi="FangSong" w:hint="eastAsia"/>
          <w:sz w:val="28"/>
          <w:szCs w:val="28"/>
        </w:rPr>
        <w:t>津南区发展和改革委员会关于同意金岸康城项目核准的通知》及《天津市外商投资项目核准通知书》。</w:t>
      </w:r>
      <w:r w:rsidR="00A4195F">
        <w:rPr>
          <w:rFonts w:ascii="FangSong" w:eastAsia="FangSong" w:hAnsi="FangSong" w:hint="eastAsia"/>
          <w:sz w:val="28"/>
          <w:szCs w:val="28"/>
        </w:rPr>
        <w:t>天津市</w:t>
      </w:r>
      <w:r w:rsidR="00A4195F" w:rsidRPr="00A4195F">
        <w:rPr>
          <w:rFonts w:ascii="FangSong" w:eastAsia="FangSong" w:hAnsi="FangSong"/>
          <w:sz w:val="28"/>
          <w:szCs w:val="28"/>
        </w:rPr>
        <w:t>有市场基础、有服务力沉淀、有大批活跃，</w:t>
      </w:r>
      <w:r w:rsidR="00A4195F">
        <w:rPr>
          <w:rFonts w:ascii="FangSong" w:eastAsia="FangSong" w:hAnsi="FangSong" w:hint="eastAsia"/>
          <w:sz w:val="28"/>
          <w:szCs w:val="28"/>
        </w:rPr>
        <w:t>开放</w:t>
      </w:r>
      <w:r w:rsidR="00A4195F" w:rsidRPr="00A4195F">
        <w:rPr>
          <w:rFonts w:ascii="FangSong" w:eastAsia="FangSong" w:hAnsi="FangSong"/>
          <w:sz w:val="28"/>
          <w:szCs w:val="28"/>
        </w:rPr>
        <w:t>的客户，</w:t>
      </w:r>
      <w:r w:rsidR="00A4195F">
        <w:rPr>
          <w:rFonts w:ascii="FangSong" w:eastAsia="FangSong" w:hAnsi="FangSong" w:hint="eastAsia"/>
          <w:sz w:val="28"/>
          <w:szCs w:val="28"/>
        </w:rPr>
        <w:t>有</w:t>
      </w:r>
      <w:r w:rsidR="00A4195F" w:rsidRPr="00A4195F">
        <w:rPr>
          <w:rFonts w:ascii="FangSong" w:eastAsia="FangSong" w:hAnsi="FangSong"/>
          <w:sz w:val="28"/>
          <w:szCs w:val="28"/>
        </w:rPr>
        <w:t>适宜发展养老事业的“土壤”</w:t>
      </w:r>
      <w:r w:rsidR="00A4195F">
        <w:rPr>
          <w:rFonts w:ascii="FangSong" w:eastAsia="FangSong" w:hAnsi="FangSong" w:hint="eastAsia"/>
          <w:sz w:val="28"/>
          <w:szCs w:val="28"/>
        </w:rPr>
        <w:t>。</w:t>
      </w:r>
      <w:r w:rsidR="009D4D6E">
        <w:rPr>
          <w:rFonts w:ascii="FangSong" w:eastAsia="FangSong" w:hAnsi="FangSong" w:hint="eastAsia"/>
          <w:sz w:val="28"/>
          <w:szCs w:val="28"/>
        </w:rPr>
        <w:t>建设</w:t>
      </w:r>
      <w:r w:rsidR="00C9452A">
        <w:rPr>
          <w:rFonts w:ascii="FangSong" w:eastAsia="FangSong" w:hAnsi="FangSong" w:hint="eastAsia"/>
          <w:sz w:val="28"/>
          <w:szCs w:val="28"/>
        </w:rPr>
        <w:t>金岸康城</w:t>
      </w:r>
      <w:r w:rsidR="009D4D6E">
        <w:rPr>
          <w:rFonts w:ascii="FangSong" w:eastAsia="FangSong" w:hAnsi="FangSong" w:hint="eastAsia"/>
          <w:sz w:val="28"/>
          <w:szCs w:val="28"/>
        </w:rPr>
        <w:t>依托行业政策背景及趋势发展，其规划建设思路高度</w:t>
      </w:r>
      <w:r w:rsidRPr="002A2DB5">
        <w:rPr>
          <w:rFonts w:ascii="FangSong" w:eastAsia="FangSong" w:hAnsi="FangSong" w:hint="eastAsia"/>
          <w:sz w:val="28"/>
          <w:szCs w:val="28"/>
        </w:rPr>
        <w:t>运用于指导建设和发展的实际，使规划的科学价值与实际开发建设保持一致性。</w:t>
      </w:r>
      <w:r w:rsidR="00C9452A">
        <w:rPr>
          <w:rFonts w:ascii="FangSong" w:eastAsia="FangSong" w:hAnsi="FangSong" w:hint="eastAsia"/>
          <w:sz w:val="28"/>
          <w:szCs w:val="28"/>
        </w:rPr>
        <w:t>一方面，</w:t>
      </w:r>
      <w:r w:rsidR="00C9452A" w:rsidRPr="002A2DB5">
        <w:rPr>
          <w:rFonts w:ascii="FangSong" w:eastAsia="FangSong" w:hAnsi="FangSong" w:hint="eastAsia"/>
          <w:sz w:val="28"/>
          <w:szCs w:val="28"/>
        </w:rPr>
        <w:t>将规划对策措施与建议体现于政府的政策及管理体制中，以保证管理的可操作性；</w:t>
      </w:r>
      <w:r w:rsidR="00C9452A">
        <w:rPr>
          <w:rFonts w:ascii="FangSong" w:eastAsia="FangSong" w:hAnsi="FangSong" w:hint="eastAsia"/>
          <w:sz w:val="28"/>
          <w:szCs w:val="28"/>
        </w:rPr>
        <w:t>另一方面，</w:t>
      </w:r>
      <w:r w:rsidR="00C9452A" w:rsidRPr="002A2DB5">
        <w:rPr>
          <w:rFonts w:ascii="FangSong" w:eastAsia="FangSong" w:hAnsi="FangSong" w:hint="eastAsia"/>
          <w:sz w:val="28"/>
          <w:szCs w:val="28"/>
        </w:rPr>
        <w:t>在时间安排上，采取整体规划、阶段开发、分期实施的序列安排，以保证开发的可操作性。在平面布局及空间形态上，高度重视生态建设与功能配置，既要考虑动、静分离，宜养、宜商、宜乐，又要满足各版块之间的和谐互动与资源共享。</w:t>
      </w:r>
    </w:p>
    <w:p w14:paraId="545557F6" w14:textId="6A15EDFA" w:rsidR="00992A27" w:rsidRDefault="009D4D6E" w:rsidP="00C9452A">
      <w:pPr>
        <w:spacing w:line="360" w:lineRule="auto"/>
        <w:rPr>
          <w:rFonts w:ascii="FangSong" w:eastAsia="FangSong" w:hAnsi="FangSong"/>
          <w:sz w:val="28"/>
          <w:szCs w:val="28"/>
        </w:rPr>
      </w:pPr>
      <w:r>
        <w:rPr>
          <w:rFonts w:ascii="FangSong" w:eastAsia="FangSong" w:hAnsi="FangSong" w:hint="eastAsia"/>
          <w:sz w:val="28"/>
          <w:szCs w:val="28"/>
        </w:rPr>
        <w:lastRenderedPageBreak/>
        <w:t xml:space="preserve">     项目</w:t>
      </w:r>
      <w:r w:rsidRPr="002A2DB5">
        <w:rPr>
          <w:rFonts w:ascii="FangSong" w:eastAsia="FangSong" w:hAnsi="FangSong" w:hint="eastAsia"/>
          <w:sz w:val="28"/>
          <w:szCs w:val="28"/>
        </w:rPr>
        <w:t>依托</w:t>
      </w:r>
      <w:r>
        <w:rPr>
          <w:rFonts w:ascii="FangSong" w:eastAsia="FangSong" w:hAnsi="FangSong" w:hint="eastAsia"/>
          <w:sz w:val="28"/>
          <w:szCs w:val="28"/>
        </w:rPr>
        <w:t>天津市</w:t>
      </w:r>
      <w:r w:rsidRPr="002A2DB5">
        <w:rPr>
          <w:rFonts w:ascii="FangSong" w:eastAsia="FangSong" w:hAnsi="FangSong" w:hint="eastAsia"/>
          <w:sz w:val="28"/>
          <w:szCs w:val="28"/>
        </w:rPr>
        <w:t>中心城区与滨海新区之间的区位优势，以及丰富的自然资源，立足当前，着眼长远，远近结合，充分考虑资源和环境的承载能力，合理确定各产业板块规模及功能配套特别注重与临近类似商贸综合体项目错位开发建设，三大中心板块的业态和功能，避开传统商业模式向定向群体倾斜。以定向开发模式为引擎，拉动金岸康城整体开发。</w:t>
      </w:r>
    </w:p>
    <w:p w14:paraId="047083D1" w14:textId="2D0908DC" w:rsidR="009D4D6E" w:rsidRDefault="00C9452A" w:rsidP="009D4D6E">
      <w:pPr>
        <w:ind w:firstLine="560"/>
        <w:rPr>
          <w:rFonts w:ascii="FangSong" w:eastAsia="FangSong" w:hAnsi="FangSong"/>
          <w:bCs/>
          <w:color w:val="0D0D0D" w:themeColor="text1" w:themeTint="F2"/>
          <w:sz w:val="28"/>
          <w:szCs w:val="28"/>
        </w:rPr>
      </w:pPr>
      <w:r>
        <w:rPr>
          <w:rFonts w:ascii="FangSong" w:eastAsia="FangSong" w:hAnsi="FangSong" w:hint="eastAsia"/>
          <w:bCs/>
          <w:color w:val="0D0D0D" w:themeColor="text1" w:themeTint="F2"/>
          <w:sz w:val="28"/>
          <w:szCs w:val="28"/>
        </w:rPr>
        <w:t>开发主体</w:t>
      </w:r>
      <w:r w:rsidRPr="00267178">
        <w:rPr>
          <w:rFonts w:ascii="FangSong" w:eastAsia="FangSong" w:hAnsi="FangSong"/>
          <w:sz w:val="28"/>
          <w:szCs w:val="28"/>
        </w:rPr>
        <w:t>中滨城（天津）置业有限</w:t>
      </w:r>
      <w:r w:rsidR="009D4D6E">
        <w:rPr>
          <w:rFonts w:ascii="FangSong" w:eastAsia="FangSong" w:hAnsi="FangSong" w:hint="eastAsia"/>
          <w:bCs/>
          <w:color w:val="0D0D0D" w:themeColor="text1" w:themeTint="F2"/>
          <w:sz w:val="28"/>
          <w:szCs w:val="28"/>
        </w:rPr>
        <w:t>公司</w:t>
      </w:r>
      <w:r>
        <w:rPr>
          <w:rFonts w:ascii="FangSong" w:eastAsia="FangSong" w:hAnsi="FangSong" w:hint="eastAsia"/>
          <w:bCs/>
          <w:color w:val="0D0D0D" w:themeColor="text1" w:themeTint="F2"/>
          <w:sz w:val="28"/>
          <w:szCs w:val="28"/>
        </w:rPr>
        <w:t>已筹建完成，并进行项目开发管理，核心管理团队管理经验及操盘经验丰富，项目建设同时，公司大力发展医养结合，构建营销渠道</w:t>
      </w:r>
      <w:r w:rsidR="009D4D6E">
        <w:rPr>
          <w:rFonts w:ascii="FangSong" w:eastAsia="FangSong" w:hAnsi="FangSong" w:hint="eastAsia"/>
          <w:bCs/>
          <w:color w:val="0D0D0D" w:themeColor="text1" w:themeTint="F2"/>
          <w:sz w:val="28"/>
          <w:szCs w:val="28"/>
        </w:rPr>
        <w:t>，</w:t>
      </w:r>
      <w:r>
        <w:rPr>
          <w:rFonts w:ascii="FangSong" w:eastAsia="FangSong" w:hAnsi="FangSong" w:hint="eastAsia"/>
          <w:bCs/>
          <w:color w:val="0D0D0D" w:themeColor="text1" w:themeTint="F2"/>
          <w:sz w:val="28"/>
          <w:szCs w:val="28"/>
        </w:rPr>
        <w:t>为后续品牌推广及批量销售做好准备。</w:t>
      </w:r>
    </w:p>
    <w:p w14:paraId="283653A5" w14:textId="10A5592A" w:rsidR="00034524" w:rsidRPr="00C9452A" w:rsidRDefault="009D4D6E" w:rsidP="00C9452A">
      <w:pPr>
        <w:ind w:firstLine="560"/>
        <w:rPr>
          <w:rFonts w:ascii="FangSong" w:eastAsia="FangSong" w:hAnsi="FangSong"/>
          <w:bCs/>
          <w:color w:val="0D0D0D" w:themeColor="text1" w:themeTint="F2"/>
          <w:sz w:val="28"/>
          <w:szCs w:val="28"/>
        </w:rPr>
      </w:pPr>
      <w:r>
        <w:rPr>
          <w:rFonts w:ascii="FangSong" w:eastAsia="FangSong" w:hAnsi="FangSong" w:hint="eastAsia"/>
          <w:bCs/>
          <w:color w:val="0D0D0D" w:themeColor="text1" w:themeTint="F2"/>
          <w:sz w:val="28"/>
          <w:szCs w:val="28"/>
        </w:rPr>
        <w:t>未来</w:t>
      </w:r>
      <w:r w:rsidR="00C9452A">
        <w:rPr>
          <w:rFonts w:ascii="FangSong" w:eastAsia="FangSong" w:hAnsi="FangSong" w:hint="eastAsia"/>
          <w:bCs/>
          <w:color w:val="0D0D0D" w:themeColor="text1" w:themeTint="F2"/>
          <w:sz w:val="28"/>
          <w:szCs w:val="28"/>
        </w:rPr>
        <w:t>三年，公司拟完成项目建设开盘销售及开启运营，推进品牌化经营，并深耕养老地产</w:t>
      </w:r>
      <w:r>
        <w:rPr>
          <w:rFonts w:ascii="FangSong" w:eastAsia="FangSong" w:hAnsi="FangSong" w:hint="eastAsia"/>
          <w:bCs/>
          <w:color w:val="0D0D0D" w:themeColor="text1" w:themeTint="F2"/>
          <w:sz w:val="28"/>
          <w:szCs w:val="28"/>
        </w:rPr>
        <w:t>。打造</w:t>
      </w:r>
      <w:r w:rsidR="00C9452A">
        <w:rPr>
          <w:rFonts w:ascii="FangSong" w:eastAsia="FangSong" w:hAnsi="FangSong" w:hint="eastAsia"/>
          <w:bCs/>
          <w:color w:val="0D0D0D" w:themeColor="text1" w:themeTint="F2"/>
          <w:sz w:val="28"/>
          <w:szCs w:val="28"/>
        </w:rPr>
        <w:t>天津市乃至全国知名</w:t>
      </w:r>
      <w:r>
        <w:rPr>
          <w:rFonts w:ascii="FangSong" w:eastAsia="FangSong" w:hAnsi="FangSong" w:hint="eastAsia"/>
          <w:bCs/>
          <w:color w:val="0D0D0D" w:themeColor="text1" w:themeTint="F2"/>
          <w:sz w:val="28"/>
          <w:szCs w:val="28"/>
        </w:rPr>
        <w:t>品牌的同时，给予</w:t>
      </w:r>
      <w:r w:rsidR="00C9452A">
        <w:rPr>
          <w:rFonts w:ascii="FangSong" w:eastAsia="FangSong" w:hAnsi="FangSong" w:hint="eastAsia"/>
          <w:bCs/>
          <w:color w:val="0D0D0D" w:themeColor="text1" w:themeTint="F2"/>
          <w:sz w:val="28"/>
          <w:szCs w:val="28"/>
        </w:rPr>
        <w:t>社会回馈</w:t>
      </w:r>
      <w:r>
        <w:rPr>
          <w:rFonts w:ascii="FangSong" w:eastAsia="FangSong" w:hAnsi="FangSong" w:hint="eastAsia"/>
          <w:bCs/>
          <w:color w:val="0D0D0D" w:themeColor="text1" w:themeTint="F2"/>
          <w:sz w:val="28"/>
          <w:szCs w:val="28"/>
        </w:rPr>
        <w:t>，为中国</w:t>
      </w:r>
      <w:r w:rsidR="00C9452A">
        <w:rPr>
          <w:rFonts w:ascii="FangSong" w:eastAsia="FangSong" w:hAnsi="FangSong" w:hint="eastAsia"/>
          <w:bCs/>
          <w:color w:val="0D0D0D" w:themeColor="text1" w:themeTint="F2"/>
          <w:sz w:val="28"/>
          <w:szCs w:val="28"/>
        </w:rPr>
        <w:t>养老地产</w:t>
      </w:r>
      <w:r>
        <w:rPr>
          <w:rFonts w:ascii="FangSong" w:eastAsia="FangSong" w:hAnsi="FangSong" w:hint="eastAsia"/>
          <w:bCs/>
          <w:color w:val="0D0D0D" w:themeColor="text1" w:themeTint="F2"/>
          <w:sz w:val="28"/>
          <w:szCs w:val="28"/>
        </w:rPr>
        <w:t>的发展起到锦上添花的作用。</w:t>
      </w:r>
    </w:p>
    <w:p w14:paraId="190D4815" w14:textId="73844B54" w:rsidR="00290CE5" w:rsidRPr="002A2DB5" w:rsidRDefault="00B63664" w:rsidP="002A2DB5">
      <w:pPr>
        <w:pStyle w:val="1"/>
        <w:spacing w:line="360" w:lineRule="auto"/>
        <w:rPr>
          <w:rFonts w:ascii="FangSong" w:eastAsia="FangSong" w:hAnsi="FangSong"/>
        </w:rPr>
      </w:pPr>
      <w:bookmarkStart w:id="1" w:name="_Toc24893505"/>
      <w:r w:rsidRPr="002A2DB5">
        <w:rPr>
          <w:rFonts w:ascii="FangSong" w:eastAsia="FangSong" w:hAnsi="FangSong" w:hint="eastAsia"/>
        </w:rPr>
        <w:t>二、</w:t>
      </w:r>
      <w:r w:rsidR="00290CE5" w:rsidRPr="002A2DB5">
        <w:rPr>
          <w:rFonts w:ascii="FangSong" w:eastAsia="FangSong" w:hAnsi="FangSong" w:hint="eastAsia"/>
        </w:rPr>
        <w:t>项目概况</w:t>
      </w:r>
      <w:bookmarkEnd w:id="1"/>
    </w:p>
    <w:p w14:paraId="3912FC49" w14:textId="4F1DA809" w:rsidR="00ED104F" w:rsidRPr="002A2DB5" w:rsidRDefault="00A51F5D" w:rsidP="002A2DB5">
      <w:pPr>
        <w:pStyle w:val="2"/>
        <w:spacing w:line="360" w:lineRule="auto"/>
        <w:rPr>
          <w:rFonts w:ascii="FangSong" w:eastAsia="FangSong" w:hAnsi="FangSong"/>
        </w:rPr>
      </w:pPr>
      <w:bookmarkStart w:id="2" w:name="_Toc24893506"/>
      <w:r w:rsidRPr="002A2DB5">
        <w:rPr>
          <w:rFonts w:ascii="FangSong" w:eastAsia="FangSong" w:hAnsi="FangSong" w:hint="eastAsia"/>
        </w:rPr>
        <w:t>2.1</w:t>
      </w:r>
      <w:r w:rsidR="00932280">
        <w:rPr>
          <w:rFonts w:ascii="FangSong" w:eastAsia="FangSong" w:hAnsi="FangSong" w:hint="eastAsia"/>
        </w:rPr>
        <w:t>基本</w:t>
      </w:r>
      <w:r w:rsidR="008A53B0">
        <w:rPr>
          <w:rFonts w:ascii="FangSong" w:eastAsia="FangSong" w:hAnsi="FangSong" w:hint="eastAsia"/>
        </w:rPr>
        <w:t>情况</w:t>
      </w:r>
      <w:bookmarkEnd w:id="2"/>
    </w:p>
    <w:p w14:paraId="7B6B9E84" w14:textId="0B47ADA4" w:rsidR="00F36243" w:rsidRPr="002A2DB5" w:rsidRDefault="0039153E" w:rsidP="002A2DB5">
      <w:pPr>
        <w:spacing w:line="360" w:lineRule="auto"/>
        <w:rPr>
          <w:rFonts w:ascii="FangSong" w:eastAsia="FangSong" w:hAnsi="FangSong"/>
          <w:sz w:val="28"/>
          <w:szCs w:val="28"/>
        </w:rPr>
      </w:pPr>
      <w:r w:rsidRPr="002A2DB5">
        <w:rPr>
          <w:rFonts w:ascii="FangSong" w:eastAsia="FangSong" w:hAnsi="FangSong" w:hint="eastAsia"/>
        </w:rPr>
        <w:t xml:space="preserve">    </w:t>
      </w:r>
      <w:r w:rsidRPr="002A2DB5">
        <w:rPr>
          <w:rFonts w:ascii="FangSong" w:eastAsia="FangSong" w:hAnsi="FangSong" w:hint="eastAsia"/>
          <w:sz w:val="28"/>
          <w:szCs w:val="28"/>
        </w:rPr>
        <w:t xml:space="preserve"> </w:t>
      </w:r>
      <w:r w:rsidR="00F36243" w:rsidRPr="002A2DB5">
        <w:rPr>
          <w:rFonts w:ascii="FangSong" w:eastAsia="FangSong" w:hAnsi="FangSong" w:hint="eastAsia"/>
          <w:sz w:val="28"/>
          <w:szCs w:val="28"/>
        </w:rPr>
        <w:t>“</w:t>
      </w:r>
      <w:r w:rsidR="00ED104F" w:rsidRPr="002A2DB5">
        <w:rPr>
          <w:rFonts w:ascii="FangSong" w:eastAsia="FangSong" w:hAnsi="FangSong" w:hint="eastAsia"/>
          <w:sz w:val="28"/>
          <w:szCs w:val="28"/>
        </w:rPr>
        <w:t>金岸康城</w:t>
      </w:r>
      <w:r w:rsidR="00F36243" w:rsidRPr="002A2DB5">
        <w:rPr>
          <w:rFonts w:ascii="FangSong" w:eastAsia="FangSong" w:hAnsi="FangSong" w:hint="eastAsia"/>
          <w:sz w:val="28"/>
          <w:szCs w:val="28"/>
        </w:rPr>
        <w:t>”</w:t>
      </w:r>
      <w:r w:rsidR="00ED104F" w:rsidRPr="002A2DB5">
        <w:rPr>
          <w:rFonts w:ascii="FangSong" w:eastAsia="FangSong" w:hAnsi="FangSong" w:hint="eastAsia"/>
          <w:sz w:val="28"/>
          <w:szCs w:val="28"/>
        </w:rPr>
        <w:t>项目是天津市重点养老项目，项目位于</w:t>
      </w:r>
      <w:r w:rsidR="00ED104F" w:rsidRPr="002A2DB5">
        <w:rPr>
          <w:rFonts w:ascii="FangSong" w:eastAsia="FangSong" w:hAnsi="FangSong"/>
          <w:sz w:val="28"/>
          <w:szCs w:val="28"/>
        </w:rPr>
        <w:t>天津市津南区八里台镇，2012年4月10日经过摘牌出让，</w:t>
      </w:r>
      <w:r w:rsidR="00ED104F" w:rsidRPr="002A2DB5">
        <w:rPr>
          <w:rFonts w:ascii="FangSong" w:eastAsia="FangSong" w:hAnsi="FangSong" w:hint="eastAsia"/>
          <w:sz w:val="28"/>
          <w:szCs w:val="28"/>
        </w:rPr>
        <w:t>并</w:t>
      </w:r>
      <w:r w:rsidR="00ED104F" w:rsidRPr="002A2DB5">
        <w:rPr>
          <w:rFonts w:ascii="FangSong" w:eastAsia="FangSong" w:hAnsi="FangSong"/>
          <w:sz w:val="28"/>
          <w:szCs w:val="28"/>
        </w:rPr>
        <w:t>签订《国有土地使用权出让合同书》，合法取得“津南（挂）2011—57号宗地”的开发建设使用权，为完成该项目开发建设，香港两公司股东共同出资组建成立“中滨城（天津）置业有限公司”。</w:t>
      </w:r>
      <w:r w:rsidR="00F36243" w:rsidRPr="002A2DB5">
        <w:rPr>
          <w:rFonts w:ascii="FangSong" w:eastAsia="FangSong" w:hAnsi="FangSong" w:hint="eastAsia"/>
          <w:sz w:val="28"/>
          <w:szCs w:val="28"/>
        </w:rPr>
        <w:t>项目信息如下：</w:t>
      </w:r>
    </w:p>
    <w:p w14:paraId="2E8D8DC0" w14:textId="77777777" w:rsidR="00F36243" w:rsidRPr="002A2DB5" w:rsidRDefault="00ED104F"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sz w:val="28"/>
          <w:szCs w:val="28"/>
        </w:rPr>
        <w:lastRenderedPageBreak/>
        <w:t>四至</w:t>
      </w:r>
      <w:r w:rsidR="00F36243" w:rsidRPr="002A2DB5">
        <w:rPr>
          <w:rFonts w:ascii="FangSong" w:eastAsia="FangSong" w:hAnsi="FangSong" w:hint="eastAsia"/>
          <w:sz w:val="28"/>
          <w:szCs w:val="28"/>
        </w:rPr>
        <w:t>范围</w:t>
      </w:r>
      <w:r w:rsidR="00F36243" w:rsidRPr="002A2DB5">
        <w:rPr>
          <w:rFonts w:ascii="FangSong" w:eastAsia="FangSong" w:hAnsi="FangSong"/>
          <w:sz w:val="28"/>
          <w:szCs w:val="28"/>
        </w:rPr>
        <w:t>：东至津港路；南至津晋高速路；西至津晋高速路；北至津港路；</w:t>
      </w:r>
    </w:p>
    <w:p w14:paraId="31ED9C19" w14:textId="3C9F218E" w:rsidR="00F36243" w:rsidRPr="002A2DB5" w:rsidRDefault="00ED104F"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sz w:val="28"/>
          <w:szCs w:val="28"/>
        </w:rPr>
        <w:t>用地面积：228</w:t>
      </w:r>
      <w:r w:rsidR="00F36243" w:rsidRPr="002A2DB5">
        <w:rPr>
          <w:rFonts w:ascii="FangSong" w:eastAsia="FangSong" w:hAnsi="FangSong" w:hint="eastAsia"/>
          <w:sz w:val="28"/>
          <w:szCs w:val="28"/>
        </w:rPr>
        <w:t>,</w:t>
      </w:r>
      <w:r w:rsidRPr="002A2DB5">
        <w:rPr>
          <w:rFonts w:ascii="FangSong" w:eastAsia="FangSong" w:hAnsi="FangSong"/>
          <w:sz w:val="28"/>
          <w:szCs w:val="28"/>
        </w:rPr>
        <w:t>450.2平方米</w:t>
      </w:r>
      <w:r w:rsidR="00F36243" w:rsidRPr="002A2DB5">
        <w:rPr>
          <w:rFonts w:ascii="FangSong" w:eastAsia="FangSong" w:hAnsi="FangSong" w:hint="eastAsia"/>
          <w:sz w:val="28"/>
          <w:szCs w:val="28"/>
        </w:rPr>
        <w:t>；</w:t>
      </w:r>
    </w:p>
    <w:p w14:paraId="4BBAF040" w14:textId="77777777" w:rsidR="00F36243" w:rsidRPr="002A2DB5" w:rsidRDefault="00ED104F"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sz w:val="28"/>
          <w:szCs w:val="28"/>
        </w:rPr>
        <w:t>用地性质：商服用地</w:t>
      </w:r>
      <w:r w:rsidR="00F36243" w:rsidRPr="002A2DB5">
        <w:rPr>
          <w:rFonts w:ascii="FangSong" w:eastAsia="FangSong" w:hAnsi="FangSong" w:hint="eastAsia"/>
          <w:sz w:val="28"/>
          <w:szCs w:val="28"/>
        </w:rPr>
        <w:t>;</w:t>
      </w:r>
    </w:p>
    <w:p w14:paraId="6BDEB058" w14:textId="77777777" w:rsidR="00F36243" w:rsidRPr="002A2DB5" w:rsidRDefault="00ED104F"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sz w:val="28"/>
          <w:szCs w:val="28"/>
        </w:rPr>
        <w:t>使用年限：40年</w:t>
      </w:r>
      <w:r w:rsidR="00F36243" w:rsidRPr="002A2DB5">
        <w:rPr>
          <w:rFonts w:ascii="FangSong" w:eastAsia="FangSong" w:hAnsi="FangSong" w:hint="eastAsia"/>
          <w:sz w:val="28"/>
          <w:szCs w:val="28"/>
        </w:rPr>
        <w:t>;</w:t>
      </w:r>
    </w:p>
    <w:p w14:paraId="4BE75752" w14:textId="2B8B83BB" w:rsidR="00ED104F" w:rsidRPr="002A2DB5" w:rsidRDefault="00ED104F"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sz w:val="28"/>
          <w:szCs w:val="28"/>
        </w:rPr>
        <w:t>容积率：≤2.0</w:t>
      </w:r>
      <w:r w:rsidR="00F36243" w:rsidRPr="002A2DB5">
        <w:rPr>
          <w:rFonts w:ascii="FangSong" w:eastAsia="FangSong" w:hAnsi="FangSong" w:hint="eastAsia"/>
          <w:sz w:val="28"/>
          <w:szCs w:val="28"/>
        </w:rPr>
        <w:t>。</w:t>
      </w:r>
    </w:p>
    <w:p w14:paraId="6D329233" w14:textId="0566107B" w:rsidR="003A5BBC" w:rsidRPr="002A2DB5" w:rsidRDefault="003A5BBC" w:rsidP="00122C2C">
      <w:pPr>
        <w:pStyle w:val="a3"/>
        <w:numPr>
          <w:ilvl w:val="0"/>
          <w:numId w:val="14"/>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地理位置图片：</w:t>
      </w:r>
    </w:p>
    <w:p w14:paraId="72EDC097" w14:textId="7F3237CF" w:rsidR="00E97A1F" w:rsidRPr="002A2DB5" w:rsidRDefault="003A5BBC" w:rsidP="002A2DB5">
      <w:pPr>
        <w:spacing w:line="360" w:lineRule="auto"/>
        <w:rPr>
          <w:rFonts w:ascii="FangSong" w:eastAsia="FangSong" w:hAnsi="FangSong"/>
        </w:rPr>
      </w:pPr>
      <w:r w:rsidRPr="002A2DB5">
        <w:rPr>
          <w:rFonts w:ascii="FangSong" w:eastAsia="FangSong" w:hAnsi="FangSong" w:hint="eastAsia"/>
          <w:noProof/>
        </w:rPr>
        <w:drawing>
          <wp:inline distT="0" distB="0" distL="0" distR="0" wp14:anchorId="449400ED" wp14:editId="46B65784">
            <wp:extent cx="5270500" cy="2745740"/>
            <wp:effectExtent l="0" t="0" r="127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屏幕快照 2019-10-30 下午4.57.10.png"/>
                    <pic:cNvPicPr/>
                  </pic:nvPicPr>
                  <pic:blipFill>
                    <a:blip r:embed="rId8">
                      <a:extLst>
                        <a:ext uri="{28A0092B-C50C-407E-A947-70E740481C1C}">
                          <a14:useLocalDpi xmlns:a14="http://schemas.microsoft.com/office/drawing/2010/main" val="0"/>
                        </a:ext>
                      </a:extLst>
                    </a:blip>
                    <a:stretch>
                      <a:fillRect/>
                    </a:stretch>
                  </pic:blipFill>
                  <pic:spPr>
                    <a:xfrm>
                      <a:off x="0" y="0"/>
                      <a:ext cx="5270500" cy="2745740"/>
                    </a:xfrm>
                    <a:prstGeom prst="rect">
                      <a:avLst/>
                    </a:prstGeom>
                  </pic:spPr>
                </pic:pic>
              </a:graphicData>
            </a:graphic>
          </wp:inline>
        </w:drawing>
      </w:r>
    </w:p>
    <w:p w14:paraId="5C484F39" w14:textId="27B11E77" w:rsidR="003A5BBC" w:rsidRPr="002A2DB5" w:rsidRDefault="003A5BBC" w:rsidP="00122C2C">
      <w:pPr>
        <w:pStyle w:val="a3"/>
        <w:numPr>
          <w:ilvl w:val="0"/>
          <w:numId w:val="1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项目现状图片：</w:t>
      </w:r>
    </w:p>
    <w:p w14:paraId="74697AF5" w14:textId="1A57F371" w:rsidR="00F41E6E" w:rsidRPr="002A2DB5" w:rsidRDefault="00F41E6E" w:rsidP="002A2DB5">
      <w:pPr>
        <w:spacing w:line="360" w:lineRule="auto"/>
        <w:rPr>
          <w:rFonts w:ascii="FangSong" w:eastAsia="FangSong" w:hAnsi="FangSong"/>
        </w:rPr>
      </w:pPr>
      <w:r w:rsidRPr="002A2DB5">
        <w:rPr>
          <w:rFonts w:ascii="FangSong" w:eastAsia="FangSong" w:hAnsi="FangSong"/>
          <w:noProof/>
        </w:rPr>
        <w:lastRenderedPageBreak/>
        <w:drawing>
          <wp:inline distT="0" distB="0" distL="0" distR="0" wp14:anchorId="3B22FD3C" wp14:editId="7B4B062B">
            <wp:extent cx="5319624" cy="3003204"/>
            <wp:effectExtent l="0" t="0" r="0" b="0"/>
            <wp:docPr id="28"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363135" cy="3027768"/>
                    </a:xfrm>
                    <a:prstGeom prst="rect">
                      <a:avLst/>
                    </a:prstGeom>
                  </pic:spPr>
                </pic:pic>
              </a:graphicData>
            </a:graphic>
          </wp:inline>
        </w:drawing>
      </w:r>
    </w:p>
    <w:p w14:paraId="3C3DBE0F" w14:textId="2F59936D" w:rsidR="003A5BBC" w:rsidRPr="002A2DB5" w:rsidRDefault="00F41E6E" w:rsidP="002A2DB5">
      <w:pPr>
        <w:spacing w:line="360" w:lineRule="auto"/>
        <w:rPr>
          <w:rFonts w:ascii="FangSong" w:eastAsia="FangSong" w:hAnsi="FangSong"/>
        </w:rPr>
      </w:pPr>
      <w:r w:rsidRPr="002A2DB5">
        <w:rPr>
          <w:rFonts w:ascii="FangSong" w:eastAsia="FangSong" w:hAnsi="FangSong"/>
          <w:noProof/>
        </w:rPr>
        <w:drawing>
          <wp:inline distT="0" distB="0" distL="0" distR="0" wp14:anchorId="23ADDFEE" wp14:editId="2EB91BD6">
            <wp:extent cx="5270500" cy="2960135"/>
            <wp:effectExtent l="0" t="0" r="0" b="12065"/>
            <wp:docPr id="27" name="图片 22" descr="现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15.jpg"/>
                    <pic:cNvPicPr/>
                  </pic:nvPicPr>
                  <pic:blipFill>
                    <a:blip r:embed="rId10"/>
                    <a:stretch>
                      <a:fillRect/>
                    </a:stretch>
                  </pic:blipFill>
                  <pic:spPr>
                    <a:xfrm>
                      <a:off x="0" y="0"/>
                      <a:ext cx="5270500" cy="2960135"/>
                    </a:xfrm>
                    <a:prstGeom prst="rect">
                      <a:avLst/>
                    </a:prstGeom>
                  </pic:spPr>
                </pic:pic>
              </a:graphicData>
            </a:graphic>
          </wp:inline>
        </w:drawing>
      </w:r>
    </w:p>
    <w:p w14:paraId="050DC513" w14:textId="7B62CB48" w:rsidR="00ED104F" w:rsidRPr="002A2DB5" w:rsidRDefault="00A51F5D" w:rsidP="002A2DB5">
      <w:pPr>
        <w:pStyle w:val="2"/>
        <w:spacing w:line="360" w:lineRule="auto"/>
        <w:rPr>
          <w:rFonts w:ascii="FangSong" w:eastAsia="FangSong" w:hAnsi="FangSong"/>
        </w:rPr>
      </w:pPr>
      <w:bookmarkStart w:id="3" w:name="_Toc24893507"/>
      <w:r w:rsidRPr="002A2DB5">
        <w:rPr>
          <w:rFonts w:ascii="FangSong" w:eastAsia="FangSong" w:hAnsi="FangSong" w:hint="eastAsia"/>
        </w:rPr>
        <w:t>2.2</w:t>
      </w:r>
      <w:r w:rsidR="0039153E" w:rsidRPr="002A2DB5">
        <w:rPr>
          <w:rFonts w:ascii="FangSong" w:eastAsia="FangSong" w:hAnsi="FangSong"/>
        </w:rPr>
        <w:t>建设</w:t>
      </w:r>
      <w:r w:rsidR="0039153E" w:rsidRPr="002A2DB5">
        <w:rPr>
          <w:rFonts w:ascii="FangSong" w:eastAsia="FangSong" w:hAnsi="FangSong" w:hint="eastAsia"/>
        </w:rPr>
        <w:t>概况</w:t>
      </w:r>
      <w:bookmarkEnd w:id="3"/>
    </w:p>
    <w:p w14:paraId="335E3F17" w14:textId="23E48097" w:rsidR="00F36243" w:rsidRPr="002A2DB5" w:rsidRDefault="00ED104F" w:rsidP="002A2DB5">
      <w:pPr>
        <w:spacing w:line="360" w:lineRule="auto"/>
        <w:ind w:firstLine="480"/>
        <w:rPr>
          <w:rFonts w:ascii="FangSong" w:eastAsia="FangSong" w:hAnsi="FangSong"/>
          <w:sz w:val="28"/>
          <w:szCs w:val="28"/>
        </w:rPr>
      </w:pPr>
      <w:r w:rsidRPr="002A2DB5">
        <w:rPr>
          <w:rFonts w:ascii="FangSong" w:eastAsia="FangSong" w:hAnsi="FangSong"/>
          <w:sz w:val="28"/>
          <w:szCs w:val="28"/>
        </w:rPr>
        <w:t>“金岸康城”项目建设规模：规划可用地面积228</w:t>
      </w:r>
      <w:r w:rsidR="00F36243" w:rsidRPr="002A2DB5">
        <w:rPr>
          <w:rFonts w:ascii="FangSong" w:eastAsia="FangSong" w:hAnsi="FangSong" w:hint="eastAsia"/>
          <w:sz w:val="28"/>
          <w:szCs w:val="28"/>
        </w:rPr>
        <w:t>,</w:t>
      </w:r>
      <w:r w:rsidRPr="002A2DB5">
        <w:rPr>
          <w:rFonts w:ascii="FangSong" w:eastAsia="FangSong" w:hAnsi="FangSong"/>
          <w:sz w:val="28"/>
          <w:szCs w:val="28"/>
        </w:rPr>
        <w:t>450.2</w:t>
      </w:r>
      <w:r w:rsidR="0039153E" w:rsidRPr="002A2DB5">
        <w:rPr>
          <w:rFonts w:ascii="FangSong" w:eastAsia="FangSong" w:hAnsi="FangSong" w:hint="eastAsia"/>
          <w:sz w:val="28"/>
          <w:szCs w:val="28"/>
        </w:rPr>
        <w:t>0</w:t>
      </w:r>
      <w:r w:rsidRPr="002A2DB5">
        <w:rPr>
          <w:rFonts w:ascii="FangSong" w:eastAsia="FangSong" w:hAnsi="FangSong"/>
          <w:sz w:val="28"/>
          <w:szCs w:val="28"/>
        </w:rPr>
        <w:t>平方米，规划总建筑面积609</w:t>
      </w:r>
      <w:r w:rsidR="00F36243" w:rsidRPr="002A2DB5">
        <w:rPr>
          <w:rFonts w:ascii="FangSong" w:eastAsia="FangSong" w:hAnsi="FangSong" w:hint="eastAsia"/>
          <w:sz w:val="28"/>
          <w:szCs w:val="28"/>
        </w:rPr>
        <w:t>,</w:t>
      </w:r>
      <w:r w:rsidRPr="002A2DB5">
        <w:rPr>
          <w:rFonts w:ascii="FangSong" w:eastAsia="FangSong" w:hAnsi="FangSong"/>
          <w:sz w:val="28"/>
          <w:szCs w:val="28"/>
        </w:rPr>
        <w:t>153.71平方米。其中：地上建筑面积456</w:t>
      </w:r>
      <w:r w:rsidR="00F36243" w:rsidRPr="002A2DB5">
        <w:rPr>
          <w:rFonts w:ascii="FangSong" w:eastAsia="FangSong" w:hAnsi="FangSong" w:hint="eastAsia"/>
          <w:sz w:val="28"/>
          <w:szCs w:val="28"/>
        </w:rPr>
        <w:t>,</w:t>
      </w:r>
      <w:r w:rsidRPr="002A2DB5">
        <w:rPr>
          <w:rFonts w:ascii="FangSong" w:eastAsia="FangSong" w:hAnsi="FangSong"/>
          <w:sz w:val="28"/>
          <w:szCs w:val="28"/>
        </w:rPr>
        <w:t>896.2</w:t>
      </w:r>
      <w:r w:rsidR="0039153E" w:rsidRPr="002A2DB5">
        <w:rPr>
          <w:rFonts w:ascii="FangSong" w:eastAsia="FangSong" w:hAnsi="FangSong" w:hint="eastAsia"/>
          <w:sz w:val="28"/>
          <w:szCs w:val="28"/>
        </w:rPr>
        <w:t>0</w:t>
      </w:r>
      <w:r w:rsidRPr="002A2DB5">
        <w:rPr>
          <w:rFonts w:ascii="FangSong" w:eastAsia="FangSong" w:hAnsi="FangSong"/>
          <w:sz w:val="28"/>
          <w:szCs w:val="28"/>
        </w:rPr>
        <w:t>平方米，地下建筑面积152</w:t>
      </w:r>
      <w:r w:rsidR="00F36243" w:rsidRPr="002A2DB5">
        <w:rPr>
          <w:rFonts w:ascii="FangSong" w:eastAsia="FangSong" w:hAnsi="FangSong" w:hint="eastAsia"/>
          <w:sz w:val="28"/>
          <w:szCs w:val="28"/>
        </w:rPr>
        <w:t>,</w:t>
      </w:r>
      <w:r w:rsidRPr="002A2DB5">
        <w:rPr>
          <w:rFonts w:ascii="FangSong" w:eastAsia="FangSong" w:hAnsi="FangSong"/>
          <w:sz w:val="28"/>
          <w:szCs w:val="28"/>
        </w:rPr>
        <w:t>257.51平方米。计划总投资将达到人民币</w:t>
      </w:r>
      <w:r w:rsidR="00D00775">
        <w:rPr>
          <w:rFonts w:ascii="FangSong" w:eastAsia="FangSong" w:hAnsi="FangSong" w:hint="eastAsia"/>
          <w:sz w:val="28"/>
          <w:szCs w:val="28"/>
        </w:rPr>
        <w:t>50</w:t>
      </w:r>
      <w:r w:rsidRPr="002A2DB5">
        <w:rPr>
          <w:rFonts w:ascii="FangSong" w:eastAsia="FangSong" w:hAnsi="FangSong"/>
          <w:sz w:val="28"/>
          <w:szCs w:val="28"/>
        </w:rPr>
        <w:t>亿元。</w:t>
      </w:r>
      <w:r w:rsidRPr="00E424F0">
        <w:rPr>
          <w:rFonts w:ascii="FangSong" w:eastAsia="FangSong" w:hAnsi="FangSong"/>
          <w:color w:val="FF0000"/>
          <w:sz w:val="28"/>
          <w:szCs w:val="28"/>
        </w:rPr>
        <w:t>拟建设成为大型“老年康乐中心、</w:t>
      </w:r>
      <w:r w:rsidR="00E424F0" w:rsidRPr="00E424F0">
        <w:rPr>
          <w:rFonts w:ascii="FangSong" w:eastAsia="FangSong" w:hAnsi="FangSong" w:hint="eastAsia"/>
          <w:color w:val="FF0000"/>
          <w:sz w:val="28"/>
          <w:szCs w:val="28"/>
        </w:rPr>
        <w:t>国际医</w:t>
      </w:r>
      <w:r w:rsidR="00E424F0" w:rsidRPr="00E424F0">
        <w:rPr>
          <w:rFonts w:ascii="FangSong" w:eastAsia="FangSong" w:hAnsi="FangSong" w:hint="eastAsia"/>
          <w:color w:val="FF0000"/>
          <w:sz w:val="28"/>
          <w:szCs w:val="28"/>
        </w:rPr>
        <w:lastRenderedPageBreak/>
        <w:t>疗科技会展中心</w:t>
      </w:r>
      <w:r w:rsidR="00E424F0" w:rsidRPr="00E424F0">
        <w:rPr>
          <w:rFonts w:ascii="FangSong" w:eastAsia="FangSong" w:hAnsi="FangSong"/>
          <w:color w:val="FF0000"/>
          <w:sz w:val="28"/>
          <w:szCs w:val="28"/>
        </w:rPr>
        <w:t>、</w:t>
      </w:r>
      <w:r w:rsidR="00E424F0" w:rsidRPr="00E424F0">
        <w:rPr>
          <w:rFonts w:ascii="FangSong" w:eastAsia="FangSong" w:hAnsi="FangSong" w:hint="eastAsia"/>
          <w:color w:val="FF0000"/>
          <w:sz w:val="28"/>
          <w:szCs w:val="28"/>
        </w:rPr>
        <w:t>国际康复康养中心、医疗康复器材贸易中心</w:t>
      </w:r>
      <w:r w:rsidRPr="00E424F0">
        <w:rPr>
          <w:rFonts w:ascii="FangSong" w:eastAsia="FangSong" w:hAnsi="FangSong"/>
          <w:color w:val="FF0000"/>
          <w:sz w:val="28"/>
          <w:szCs w:val="28"/>
        </w:rPr>
        <w:t>。</w:t>
      </w:r>
      <w:r w:rsidR="00F36243" w:rsidRPr="002A2DB5">
        <w:rPr>
          <w:rFonts w:ascii="FangSong" w:eastAsia="FangSong" w:hAnsi="FangSong"/>
          <w:sz w:val="28"/>
          <w:szCs w:val="28"/>
        </w:rPr>
        <w:t>该项目建成后将为社会提供数千个就业岗位。</w:t>
      </w:r>
      <w:r w:rsidRPr="002A2DB5">
        <w:rPr>
          <w:rFonts w:ascii="FangSong" w:eastAsia="FangSong" w:hAnsi="FangSong"/>
          <w:sz w:val="28"/>
          <w:szCs w:val="28"/>
        </w:rPr>
        <w:t>项目全部投入运营后预计年实现利税近人民币1.8亿元。</w:t>
      </w:r>
    </w:p>
    <w:p w14:paraId="3EEAF0BE" w14:textId="0897C762" w:rsidR="00ED104F" w:rsidRPr="002A2DB5" w:rsidRDefault="0039153E"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ED104F" w:rsidRPr="002A2DB5">
        <w:rPr>
          <w:rFonts w:ascii="FangSong" w:eastAsia="FangSong" w:hAnsi="FangSong"/>
          <w:sz w:val="28"/>
          <w:szCs w:val="28"/>
        </w:rPr>
        <w:t>项目分四期建设：</w:t>
      </w:r>
    </w:p>
    <w:p w14:paraId="06FD1333" w14:textId="3C5C66FB" w:rsidR="00ED104F" w:rsidRPr="002A2DB5" w:rsidRDefault="00ED104F" w:rsidP="00122C2C">
      <w:pPr>
        <w:pStyle w:val="a3"/>
        <w:numPr>
          <w:ilvl w:val="0"/>
          <w:numId w:val="15"/>
        </w:numPr>
        <w:spacing w:line="360" w:lineRule="auto"/>
        <w:ind w:firstLineChars="0"/>
        <w:rPr>
          <w:rFonts w:ascii="FangSong" w:eastAsia="FangSong" w:hAnsi="FangSong"/>
          <w:sz w:val="28"/>
          <w:szCs w:val="28"/>
        </w:rPr>
      </w:pPr>
      <w:r w:rsidRPr="002A2DB5">
        <w:rPr>
          <w:rFonts w:ascii="FangSong" w:eastAsia="FangSong" w:hAnsi="FangSong"/>
          <w:sz w:val="28"/>
          <w:szCs w:val="28"/>
        </w:rPr>
        <w:t>一期：总建筑面积12</w:t>
      </w:r>
      <w:r w:rsidR="0039153E" w:rsidRPr="002A2DB5">
        <w:rPr>
          <w:rFonts w:ascii="FangSong" w:eastAsia="FangSong" w:hAnsi="FangSong" w:hint="eastAsia"/>
          <w:sz w:val="28"/>
          <w:szCs w:val="28"/>
        </w:rPr>
        <w:t>,</w:t>
      </w:r>
      <w:r w:rsidRPr="002A2DB5">
        <w:rPr>
          <w:rFonts w:ascii="FangSong" w:eastAsia="FangSong" w:hAnsi="FangSong"/>
          <w:sz w:val="28"/>
          <w:szCs w:val="28"/>
        </w:rPr>
        <w:t>364.43平方米，即项目1号楼</w:t>
      </w:r>
      <w:r w:rsidR="0039153E" w:rsidRPr="002A2DB5">
        <w:rPr>
          <w:rFonts w:ascii="FangSong" w:eastAsia="FangSong" w:hAnsi="FangSong" w:hint="eastAsia"/>
          <w:sz w:val="28"/>
          <w:szCs w:val="28"/>
        </w:rPr>
        <w:t>。</w:t>
      </w:r>
      <w:r w:rsidR="001965A0" w:rsidRPr="002A2DB5">
        <w:rPr>
          <w:rFonts w:ascii="FangSong" w:eastAsia="FangSong" w:hAnsi="FangSong" w:hint="eastAsia"/>
          <w:sz w:val="28"/>
          <w:szCs w:val="28"/>
        </w:rPr>
        <w:t>总建筑面积</w:t>
      </w:r>
      <w:r w:rsidRPr="002A2DB5">
        <w:rPr>
          <w:rFonts w:ascii="FangSong" w:eastAsia="FangSong" w:hAnsi="FangSong"/>
          <w:sz w:val="28"/>
          <w:szCs w:val="28"/>
        </w:rPr>
        <w:t>12</w:t>
      </w:r>
      <w:r w:rsidR="001965A0" w:rsidRPr="002A2DB5">
        <w:rPr>
          <w:rFonts w:ascii="FangSong" w:eastAsia="FangSong" w:hAnsi="FangSong" w:hint="eastAsia"/>
          <w:sz w:val="28"/>
          <w:szCs w:val="28"/>
        </w:rPr>
        <w:t>,</w:t>
      </w:r>
      <w:r w:rsidRPr="002A2DB5">
        <w:rPr>
          <w:rFonts w:ascii="FangSong" w:eastAsia="FangSong" w:hAnsi="FangSong"/>
          <w:sz w:val="28"/>
          <w:szCs w:val="28"/>
        </w:rPr>
        <w:t>364.43平方米（其中地上9</w:t>
      </w:r>
      <w:r w:rsidR="001965A0" w:rsidRPr="002A2DB5">
        <w:rPr>
          <w:rFonts w:ascii="FangSong" w:eastAsia="FangSong" w:hAnsi="FangSong" w:hint="eastAsia"/>
          <w:sz w:val="28"/>
          <w:szCs w:val="28"/>
        </w:rPr>
        <w:t>,</w:t>
      </w:r>
      <w:r w:rsidRPr="002A2DB5">
        <w:rPr>
          <w:rFonts w:ascii="FangSong" w:eastAsia="FangSong" w:hAnsi="FangSong"/>
          <w:sz w:val="28"/>
          <w:szCs w:val="28"/>
        </w:rPr>
        <w:t>506.92平方米，地下2</w:t>
      </w:r>
      <w:r w:rsidR="001965A0" w:rsidRPr="002A2DB5">
        <w:rPr>
          <w:rFonts w:ascii="FangSong" w:eastAsia="FangSong" w:hAnsi="FangSong" w:hint="eastAsia"/>
          <w:sz w:val="28"/>
          <w:szCs w:val="28"/>
        </w:rPr>
        <w:t>,</w:t>
      </w:r>
      <w:r w:rsidRPr="002A2DB5">
        <w:rPr>
          <w:rFonts w:ascii="FangSong" w:eastAsia="FangSong" w:hAnsi="FangSong"/>
          <w:sz w:val="28"/>
          <w:szCs w:val="28"/>
        </w:rPr>
        <w:t>857.51平方米），层数4层，现已建成。</w:t>
      </w:r>
    </w:p>
    <w:p w14:paraId="1ED90D1C" w14:textId="6DB08257" w:rsidR="0039153E" w:rsidRPr="002A2DB5" w:rsidRDefault="00ED104F" w:rsidP="00122C2C">
      <w:pPr>
        <w:pStyle w:val="a3"/>
        <w:numPr>
          <w:ilvl w:val="0"/>
          <w:numId w:val="15"/>
        </w:numPr>
        <w:spacing w:line="360" w:lineRule="auto"/>
        <w:ind w:firstLineChars="0"/>
        <w:rPr>
          <w:rFonts w:ascii="FangSong" w:eastAsia="FangSong" w:hAnsi="FangSong"/>
          <w:sz w:val="28"/>
          <w:szCs w:val="28"/>
        </w:rPr>
      </w:pPr>
      <w:r w:rsidRPr="002A2DB5">
        <w:rPr>
          <w:rFonts w:ascii="FangSong" w:eastAsia="FangSong" w:hAnsi="FangSong"/>
          <w:sz w:val="28"/>
          <w:szCs w:val="28"/>
        </w:rPr>
        <w:t>二期：34-71号楼，临街配套及综合养老院。总建筑面积154</w:t>
      </w:r>
      <w:r w:rsidR="001965A0" w:rsidRPr="002A2DB5">
        <w:rPr>
          <w:rFonts w:ascii="FangSong" w:eastAsia="FangSong" w:hAnsi="FangSong" w:hint="eastAsia"/>
          <w:sz w:val="28"/>
          <w:szCs w:val="28"/>
        </w:rPr>
        <w:t>,</w:t>
      </w:r>
      <w:r w:rsidRPr="002A2DB5">
        <w:rPr>
          <w:rFonts w:ascii="FangSong" w:eastAsia="FangSong" w:hAnsi="FangSong"/>
          <w:sz w:val="28"/>
          <w:szCs w:val="28"/>
        </w:rPr>
        <w:t>162.70平方米</w:t>
      </w:r>
    </w:p>
    <w:p w14:paraId="35D64227" w14:textId="3E14DFC9" w:rsidR="00ED104F" w:rsidRPr="002A2DB5" w:rsidRDefault="001965A0"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ED104F" w:rsidRPr="002A2DB5">
        <w:rPr>
          <w:rFonts w:ascii="FangSong" w:eastAsia="FangSong" w:hAnsi="FangSong"/>
          <w:sz w:val="28"/>
          <w:szCs w:val="28"/>
        </w:rPr>
        <w:t>（其中地上106</w:t>
      </w:r>
      <w:r w:rsidRPr="002A2DB5">
        <w:rPr>
          <w:rFonts w:ascii="FangSong" w:eastAsia="FangSong" w:hAnsi="FangSong" w:hint="eastAsia"/>
          <w:sz w:val="28"/>
          <w:szCs w:val="28"/>
        </w:rPr>
        <w:t>,</w:t>
      </w:r>
      <w:r w:rsidR="00ED104F" w:rsidRPr="002A2DB5">
        <w:rPr>
          <w:rFonts w:ascii="FangSong" w:eastAsia="FangSong" w:hAnsi="FangSong"/>
          <w:sz w:val="28"/>
          <w:szCs w:val="28"/>
        </w:rPr>
        <w:t>096.70平方米，地下48</w:t>
      </w:r>
      <w:r w:rsidRPr="002A2DB5">
        <w:rPr>
          <w:rFonts w:ascii="FangSong" w:eastAsia="FangSong" w:hAnsi="FangSong" w:hint="eastAsia"/>
          <w:sz w:val="28"/>
          <w:szCs w:val="28"/>
        </w:rPr>
        <w:t>,</w:t>
      </w:r>
      <w:r w:rsidR="00ED104F" w:rsidRPr="002A2DB5">
        <w:rPr>
          <w:rFonts w:ascii="FangSong" w:eastAsia="FangSong" w:hAnsi="FangSong"/>
          <w:sz w:val="28"/>
          <w:szCs w:val="28"/>
        </w:rPr>
        <w:t>066.00平方米），层数2-9层。</w:t>
      </w:r>
    </w:p>
    <w:p w14:paraId="77B4959A" w14:textId="48E13757" w:rsidR="00ED104F" w:rsidRPr="002A2DB5" w:rsidRDefault="00ED104F" w:rsidP="00122C2C">
      <w:pPr>
        <w:pStyle w:val="a3"/>
        <w:numPr>
          <w:ilvl w:val="0"/>
          <w:numId w:val="15"/>
        </w:numPr>
        <w:spacing w:line="360" w:lineRule="auto"/>
        <w:ind w:firstLineChars="0"/>
        <w:rPr>
          <w:rFonts w:ascii="FangSong" w:eastAsia="FangSong" w:hAnsi="FangSong"/>
          <w:sz w:val="28"/>
          <w:szCs w:val="28"/>
        </w:rPr>
      </w:pPr>
      <w:r w:rsidRPr="002A2DB5">
        <w:rPr>
          <w:rFonts w:ascii="FangSong" w:eastAsia="FangSong" w:hAnsi="FangSong"/>
          <w:sz w:val="28"/>
          <w:szCs w:val="28"/>
        </w:rPr>
        <w:t>三期：10-26号楼，变电站4、5及换热站3。总建筑面积233</w:t>
      </w:r>
      <w:r w:rsidR="001965A0" w:rsidRPr="002A2DB5">
        <w:rPr>
          <w:rFonts w:ascii="FangSong" w:eastAsia="FangSong" w:hAnsi="FangSong" w:hint="eastAsia"/>
          <w:sz w:val="28"/>
          <w:szCs w:val="28"/>
        </w:rPr>
        <w:t>,</w:t>
      </w:r>
      <w:r w:rsidRPr="002A2DB5">
        <w:rPr>
          <w:rFonts w:ascii="FangSong" w:eastAsia="FangSong" w:hAnsi="FangSong"/>
          <w:sz w:val="28"/>
          <w:szCs w:val="28"/>
        </w:rPr>
        <w:t>513.15平方米（其中地上172</w:t>
      </w:r>
      <w:r w:rsidR="001965A0" w:rsidRPr="002A2DB5">
        <w:rPr>
          <w:rFonts w:ascii="FangSong" w:eastAsia="FangSong" w:hAnsi="FangSong" w:hint="eastAsia"/>
          <w:sz w:val="28"/>
          <w:szCs w:val="28"/>
        </w:rPr>
        <w:t>,</w:t>
      </w:r>
      <w:r w:rsidRPr="002A2DB5">
        <w:rPr>
          <w:rFonts w:ascii="FangSong" w:eastAsia="FangSong" w:hAnsi="FangSong"/>
          <w:sz w:val="28"/>
          <w:szCs w:val="28"/>
        </w:rPr>
        <w:t>995.35平方米，地下60</w:t>
      </w:r>
      <w:r w:rsidR="001965A0" w:rsidRPr="002A2DB5">
        <w:rPr>
          <w:rFonts w:ascii="FangSong" w:eastAsia="FangSong" w:hAnsi="FangSong" w:hint="eastAsia"/>
          <w:sz w:val="28"/>
          <w:szCs w:val="28"/>
        </w:rPr>
        <w:t>,</w:t>
      </w:r>
      <w:r w:rsidRPr="002A2DB5">
        <w:rPr>
          <w:rFonts w:ascii="FangSong" w:eastAsia="FangSong" w:hAnsi="FangSong"/>
          <w:sz w:val="28"/>
          <w:szCs w:val="28"/>
        </w:rPr>
        <w:t>517.80平方米），层数19-25层。</w:t>
      </w:r>
    </w:p>
    <w:p w14:paraId="555C5FAF" w14:textId="0314D48F" w:rsidR="0039153E" w:rsidRPr="002A2DB5" w:rsidRDefault="00ED104F" w:rsidP="00122C2C">
      <w:pPr>
        <w:pStyle w:val="a3"/>
        <w:numPr>
          <w:ilvl w:val="0"/>
          <w:numId w:val="15"/>
        </w:numPr>
        <w:spacing w:line="360" w:lineRule="auto"/>
        <w:ind w:firstLineChars="0"/>
        <w:rPr>
          <w:rFonts w:ascii="FangSong" w:eastAsia="FangSong" w:hAnsi="FangSong"/>
          <w:sz w:val="28"/>
          <w:szCs w:val="28"/>
        </w:rPr>
      </w:pPr>
      <w:r w:rsidRPr="002A2DB5">
        <w:rPr>
          <w:rFonts w:ascii="FangSong" w:eastAsia="FangSong" w:hAnsi="FangSong"/>
          <w:sz w:val="28"/>
          <w:szCs w:val="28"/>
        </w:rPr>
        <w:t>四期：2-9号楼和27-33号楼，及其他公建。总建筑面积209</w:t>
      </w:r>
      <w:r w:rsidR="001965A0" w:rsidRPr="002A2DB5">
        <w:rPr>
          <w:rFonts w:ascii="FangSong" w:eastAsia="FangSong" w:hAnsi="FangSong" w:hint="eastAsia"/>
          <w:sz w:val="28"/>
          <w:szCs w:val="28"/>
        </w:rPr>
        <w:t>,</w:t>
      </w:r>
      <w:r w:rsidRPr="002A2DB5">
        <w:rPr>
          <w:rFonts w:ascii="FangSong" w:eastAsia="FangSong" w:hAnsi="FangSong"/>
          <w:sz w:val="28"/>
          <w:szCs w:val="28"/>
        </w:rPr>
        <w:t>113.43平方米</w:t>
      </w:r>
    </w:p>
    <w:p w14:paraId="65DC2111" w14:textId="7E30C4D0" w:rsidR="00ED104F" w:rsidRPr="002A2DB5" w:rsidRDefault="001965A0"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ED104F" w:rsidRPr="002A2DB5">
        <w:rPr>
          <w:rFonts w:ascii="FangSong" w:eastAsia="FangSong" w:hAnsi="FangSong"/>
          <w:sz w:val="28"/>
          <w:szCs w:val="28"/>
        </w:rPr>
        <w:t>（其中地上168</w:t>
      </w:r>
      <w:r w:rsidRPr="002A2DB5">
        <w:rPr>
          <w:rFonts w:ascii="FangSong" w:eastAsia="FangSong" w:hAnsi="FangSong" w:hint="eastAsia"/>
          <w:sz w:val="28"/>
          <w:szCs w:val="28"/>
        </w:rPr>
        <w:t>,</w:t>
      </w:r>
      <w:r w:rsidR="00ED104F" w:rsidRPr="002A2DB5">
        <w:rPr>
          <w:rFonts w:ascii="FangSong" w:eastAsia="FangSong" w:hAnsi="FangSong"/>
          <w:sz w:val="28"/>
          <w:szCs w:val="28"/>
        </w:rPr>
        <w:t>297.23平方米，地下40</w:t>
      </w:r>
      <w:r w:rsidRPr="002A2DB5">
        <w:rPr>
          <w:rFonts w:ascii="FangSong" w:eastAsia="FangSong" w:hAnsi="FangSong" w:hint="eastAsia"/>
          <w:sz w:val="28"/>
          <w:szCs w:val="28"/>
        </w:rPr>
        <w:t>,</w:t>
      </w:r>
      <w:r w:rsidR="00ED104F" w:rsidRPr="002A2DB5">
        <w:rPr>
          <w:rFonts w:ascii="FangSong" w:eastAsia="FangSong" w:hAnsi="FangSong"/>
          <w:sz w:val="28"/>
          <w:szCs w:val="28"/>
        </w:rPr>
        <w:t>816.20平方米），层数19-25层。</w:t>
      </w:r>
    </w:p>
    <w:p w14:paraId="48ED6736" w14:textId="334D22A5" w:rsidR="00ED104F" w:rsidRDefault="0039153E" w:rsidP="0083072D">
      <w:pPr>
        <w:spacing w:line="360" w:lineRule="auto"/>
        <w:ind w:firstLine="560"/>
        <w:rPr>
          <w:rFonts w:ascii="FangSong" w:eastAsia="FangSong" w:hAnsi="FangSong"/>
          <w:sz w:val="28"/>
          <w:szCs w:val="28"/>
        </w:rPr>
      </w:pPr>
      <w:r w:rsidRPr="002A2DB5">
        <w:rPr>
          <w:rFonts w:ascii="FangSong" w:eastAsia="FangSong" w:hAnsi="FangSong" w:hint="eastAsia"/>
          <w:sz w:val="28"/>
          <w:szCs w:val="28"/>
        </w:rPr>
        <w:t>目前项目建设进度：</w:t>
      </w:r>
      <w:r w:rsidR="00ED104F" w:rsidRPr="002A2DB5">
        <w:rPr>
          <w:rFonts w:ascii="FangSong" w:eastAsia="FangSong" w:hAnsi="FangSong"/>
          <w:sz w:val="28"/>
          <w:szCs w:val="28"/>
        </w:rPr>
        <w:t>1号楼“管理服务中心”主体已竣工，于2016年投入使用，建设资金全部为自筹；现在项目完成一期建设，在规划报建上已完成总体方案公示、总平面的公示和三期总平面的</w:t>
      </w:r>
      <w:r w:rsidR="00ED104F" w:rsidRPr="002A2DB5">
        <w:rPr>
          <w:rFonts w:ascii="FangSong" w:eastAsia="FangSong" w:hAnsi="FangSong"/>
          <w:sz w:val="28"/>
          <w:szCs w:val="28"/>
        </w:rPr>
        <w:lastRenderedPageBreak/>
        <w:t>公示，二期总平面在审批中。项目已完成后期施工的准备工作，现场完成了五通一平。监理的招标已完成。在2018年6月份将项目的大配套费10</w:t>
      </w:r>
      <w:r w:rsidRPr="002A2DB5">
        <w:rPr>
          <w:rFonts w:ascii="FangSong" w:eastAsia="FangSong" w:hAnsi="FangSong" w:hint="eastAsia"/>
          <w:sz w:val="28"/>
          <w:szCs w:val="28"/>
        </w:rPr>
        <w:t>,</w:t>
      </w:r>
      <w:r w:rsidR="00ED104F" w:rsidRPr="002A2DB5">
        <w:rPr>
          <w:rFonts w:ascii="FangSong" w:eastAsia="FangSong" w:hAnsi="FangSong"/>
          <w:sz w:val="28"/>
          <w:szCs w:val="28"/>
        </w:rPr>
        <w:t>830.054万元全部交齐，项目到2019年7月</w:t>
      </w:r>
      <w:r w:rsidRPr="002A2DB5">
        <w:rPr>
          <w:rFonts w:ascii="FangSong" w:eastAsia="FangSong" w:hAnsi="FangSong"/>
          <w:sz w:val="28"/>
          <w:szCs w:val="28"/>
        </w:rPr>
        <w:t>自</w:t>
      </w:r>
      <w:r w:rsidRPr="002A2DB5">
        <w:rPr>
          <w:rFonts w:ascii="FangSong" w:eastAsia="FangSong" w:hAnsi="FangSong" w:hint="eastAsia"/>
          <w:sz w:val="28"/>
          <w:szCs w:val="28"/>
        </w:rPr>
        <w:t>有</w:t>
      </w:r>
      <w:r w:rsidR="00ED104F" w:rsidRPr="002A2DB5">
        <w:rPr>
          <w:rFonts w:ascii="FangSong" w:eastAsia="FangSong" w:hAnsi="FangSong"/>
          <w:sz w:val="28"/>
          <w:szCs w:val="28"/>
        </w:rPr>
        <w:t>投资</w:t>
      </w:r>
      <w:r w:rsidRPr="002A2DB5">
        <w:rPr>
          <w:rFonts w:ascii="FangSong" w:eastAsia="FangSong" w:hAnsi="FangSong" w:hint="eastAsia"/>
          <w:sz w:val="28"/>
          <w:szCs w:val="28"/>
        </w:rPr>
        <w:t>达</w:t>
      </w:r>
      <w:r w:rsidR="00ED104F" w:rsidRPr="002A2DB5">
        <w:rPr>
          <w:rFonts w:ascii="FangSong" w:eastAsia="FangSong" w:hAnsi="FangSong"/>
          <w:sz w:val="28"/>
          <w:szCs w:val="28"/>
        </w:rPr>
        <w:t>8.3亿元。</w:t>
      </w:r>
      <w:r w:rsidR="00D0176B">
        <w:rPr>
          <w:rFonts w:ascii="FangSong" w:eastAsia="FangSong" w:hAnsi="FangSong" w:hint="eastAsia"/>
          <w:sz w:val="28"/>
          <w:szCs w:val="28"/>
        </w:rPr>
        <w:t>整体建设指标如下：</w:t>
      </w:r>
    </w:p>
    <w:tbl>
      <w:tblPr>
        <w:tblW w:w="8165" w:type="dxa"/>
        <w:tblLook w:val="04A0" w:firstRow="1" w:lastRow="0" w:firstColumn="1" w:lastColumn="0" w:noHBand="0" w:noVBand="1"/>
      </w:tblPr>
      <w:tblGrid>
        <w:gridCol w:w="688"/>
        <w:gridCol w:w="688"/>
        <w:gridCol w:w="3466"/>
        <w:gridCol w:w="1542"/>
        <w:gridCol w:w="1781"/>
      </w:tblGrid>
      <w:tr w:rsidR="00D0176B" w14:paraId="2357C2E4"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A678"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项目</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14:paraId="4D8026F4"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单位</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14:paraId="486344EB"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数量</w:t>
            </w:r>
          </w:p>
        </w:tc>
      </w:tr>
      <w:tr w:rsidR="00D0176B" w14:paraId="4FA0B516"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C5E4C"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规划总用地</w:t>
            </w:r>
          </w:p>
        </w:tc>
        <w:tc>
          <w:tcPr>
            <w:tcW w:w="1542" w:type="dxa"/>
            <w:tcBorders>
              <w:top w:val="nil"/>
              <w:left w:val="nil"/>
              <w:bottom w:val="single" w:sz="4" w:space="0" w:color="auto"/>
              <w:right w:val="single" w:sz="4" w:space="0" w:color="auto"/>
            </w:tcBorders>
            <w:shd w:val="clear" w:color="auto" w:fill="auto"/>
            <w:noWrap/>
            <w:vAlign w:val="center"/>
            <w:hideMark/>
          </w:tcPr>
          <w:p w14:paraId="391A6FA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463A8F85"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471,472.70 </w:t>
            </w:r>
          </w:p>
        </w:tc>
      </w:tr>
      <w:tr w:rsidR="00D0176B" w14:paraId="6DF60D77"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FE9AD"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规划可用地</w:t>
            </w:r>
          </w:p>
        </w:tc>
        <w:tc>
          <w:tcPr>
            <w:tcW w:w="1542" w:type="dxa"/>
            <w:tcBorders>
              <w:top w:val="nil"/>
              <w:left w:val="nil"/>
              <w:bottom w:val="single" w:sz="4" w:space="0" w:color="auto"/>
              <w:right w:val="single" w:sz="4" w:space="0" w:color="auto"/>
            </w:tcBorders>
            <w:shd w:val="clear" w:color="auto" w:fill="auto"/>
            <w:noWrap/>
            <w:vAlign w:val="center"/>
            <w:hideMark/>
          </w:tcPr>
          <w:p w14:paraId="0BC48624"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0D5AC2F6"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228,448.10 </w:t>
            </w:r>
          </w:p>
        </w:tc>
      </w:tr>
      <w:tr w:rsidR="00E424F0" w:rsidRPr="00E424F0" w14:paraId="41D3ECD9"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6D9E"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总建筑面积</w:t>
            </w:r>
          </w:p>
        </w:tc>
        <w:tc>
          <w:tcPr>
            <w:tcW w:w="1542" w:type="dxa"/>
            <w:tcBorders>
              <w:top w:val="nil"/>
              <w:left w:val="nil"/>
              <w:bottom w:val="single" w:sz="4" w:space="0" w:color="auto"/>
              <w:right w:val="single" w:sz="4" w:space="0" w:color="auto"/>
            </w:tcBorders>
            <w:shd w:val="clear" w:color="auto" w:fill="auto"/>
            <w:noWrap/>
            <w:vAlign w:val="center"/>
            <w:hideMark/>
          </w:tcPr>
          <w:p w14:paraId="34CD02B7"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37EE08CA" w14:textId="7C9F8451" w:rsidR="00D0176B" w:rsidRPr="00E424F0" w:rsidRDefault="00D0176B" w:rsidP="00E424F0">
            <w:pPr>
              <w:jc w:val="right"/>
              <w:rPr>
                <w:rFonts w:ascii="宋体" w:eastAsia="宋体" w:hAnsi="宋体"/>
                <w:color w:val="FF0000"/>
                <w:sz w:val="22"/>
                <w:szCs w:val="22"/>
              </w:rPr>
            </w:pPr>
            <w:r w:rsidRPr="00E424F0">
              <w:rPr>
                <w:rFonts w:ascii="宋体" w:eastAsia="宋体" w:hAnsi="宋体" w:hint="eastAsia"/>
                <w:color w:val="FF0000"/>
                <w:sz w:val="22"/>
                <w:szCs w:val="22"/>
              </w:rPr>
              <w:t xml:space="preserve"> 6</w:t>
            </w:r>
            <w:r w:rsidR="00E424F0" w:rsidRPr="00E424F0">
              <w:rPr>
                <w:rFonts w:ascii="宋体" w:eastAsia="宋体" w:hAnsi="宋体" w:hint="eastAsia"/>
                <w:color w:val="FF0000"/>
                <w:sz w:val="22"/>
                <w:szCs w:val="22"/>
              </w:rPr>
              <w:t>09</w:t>
            </w:r>
            <w:r w:rsidRPr="00E424F0">
              <w:rPr>
                <w:rFonts w:ascii="宋体" w:eastAsia="宋体" w:hAnsi="宋体" w:hint="eastAsia"/>
                <w:color w:val="FF0000"/>
                <w:sz w:val="22"/>
                <w:szCs w:val="22"/>
              </w:rPr>
              <w:t>,</w:t>
            </w:r>
            <w:r w:rsidR="00E424F0" w:rsidRPr="00E424F0">
              <w:rPr>
                <w:rFonts w:ascii="宋体" w:eastAsia="宋体" w:hAnsi="宋体" w:hint="eastAsia"/>
                <w:color w:val="FF0000"/>
                <w:sz w:val="22"/>
                <w:szCs w:val="22"/>
              </w:rPr>
              <w:t>153</w:t>
            </w:r>
            <w:r w:rsidRPr="00E424F0">
              <w:rPr>
                <w:rFonts w:ascii="宋体" w:eastAsia="宋体" w:hAnsi="宋体" w:hint="eastAsia"/>
                <w:color w:val="FF0000"/>
                <w:sz w:val="22"/>
                <w:szCs w:val="22"/>
              </w:rPr>
              <w:t>.</w:t>
            </w:r>
            <w:r w:rsidR="00E424F0" w:rsidRPr="00E424F0">
              <w:rPr>
                <w:rFonts w:ascii="宋体" w:eastAsia="宋体" w:hAnsi="宋体" w:hint="eastAsia"/>
                <w:color w:val="FF0000"/>
                <w:sz w:val="22"/>
                <w:szCs w:val="22"/>
              </w:rPr>
              <w:t>71</w:t>
            </w:r>
            <w:r w:rsidRPr="00E424F0">
              <w:rPr>
                <w:rFonts w:ascii="宋体" w:eastAsia="宋体" w:hAnsi="宋体" w:hint="eastAsia"/>
                <w:color w:val="FF0000"/>
                <w:sz w:val="22"/>
                <w:szCs w:val="22"/>
              </w:rPr>
              <w:t xml:space="preserve"> </w:t>
            </w:r>
          </w:p>
        </w:tc>
      </w:tr>
      <w:tr w:rsidR="00D0176B" w14:paraId="475FCB78" w14:textId="77777777" w:rsidTr="00D0176B">
        <w:trPr>
          <w:trHeight w:val="272"/>
        </w:trPr>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214E6"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其中</w:t>
            </w:r>
          </w:p>
        </w:tc>
        <w:tc>
          <w:tcPr>
            <w:tcW w:w="41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58B41D"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地上建筑面积</w:t>
            </w:r>
          </w:p>
        </w:tc>
        <w:tc>
          <w:tcPr>
            <w:tcW w:w="1542" w:type="dxa"/>
            <w:tcBorders>
              <w:top w:val="nil"/>
              <w:left w:val="nil"/>
              <w:bottom w:val="single" w:sz="4" w:space="0" w:color="auto"/>
              <w:right w:val="single" w:sz="4" w:space="0" w:color="auto"/>
            </w:tcBorders>
            <w:shd w:val="clear" w:color="auto" w:fill="auto"/>
            <w:noWrap/>
            <w:vAlign w:val="center"/>
            <w:hideMark/>
          </w:tcPr>
          <w:p w14:paraId="5C02A06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6BD0E14A"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456,896.20 </w:t>
            </w:r>
          </w:p>
        </w:tc>
      </w:tr>
      <w:tr w:rsidR="00E424F0" w:rsidRPr="00E424F0" w14:paraId="6D9C4CA1"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410D9089" w14:textId="77777777" w:rsidR="00D0176B" w:rsidRDefault="00D0176B">
            <w:pPr>
              <w:rPr>
                <w:rFonts w:ascii="宋体" w:eastAsia="宋体" w:hAnsi="宋体"/>
                <w:color w:val="000000"/>
                <w:sz w:val="22"/>
                <w:szCs w:val="22"/>
              </w:rPr>
            </w:pPr>
          </w:p>
        </w:tc>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EBEB9"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其中</w:t>
            </w:r>
          </w:p>
        </w:tc>
        <w:tc>
          <w:tcPr>
            <w:tcW w:w="3466" w:type="dxa"/>
            <w:tcBorders>
              <w:top w:val="nil"/>
              <w:left w:val="nil"/>
              <w:bottom w:val="single" w:sz="4" w:space="0" w:color="auto"/>
              <w:right w:val="single" w:sz="4" w:space="0" w:color="auto"/>
            </w:tcBorders>
            <w:shd w:val="clear" w:color="auto" w:fill="auto"/>
            <w:noWrap/>
            <w:vAlign w:val="center"/>
            <w:hideMark/>
          </w:tcPr>
          <w:p w14:paraId="739788B5"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已建办公1#楼建筑面积</w:t>
            </w:r>
          </w:p>
        </w:tc>
        <w:tc>
          <w:tcPr>
            <w:tcW w:w="1542" w:type="dxa"/>
            <w:tcBorders>
              <w:top w:val="nil"/>
              <w:left w:val="nil"/>
              <w:bottom w:val="single" w:sz="4" w:space="0" w:color="auto"/>
              <w:right w:val="single" w:sz="4" w:space="0" w:color="auto"/>
            </w:tcBorders>
            <w:shd w:val="clear" w:color="auto" w:fill="auto"/>
            <w:noWrap/>
            <w:vAlign w:val="center"/>
            <w:hideMark/>
          </w:tcPr>
          <w:p w14:paraId="17648F3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07D76723" w14:textId="22586BAF" w:rsidR="00D0176B" w:rsidRPr="00E424F0" w:rsidRDefault="00D0176B" w:rsidP="00E424F0">
            <w:pPr>
              <w:jc w:val="right"/>
              <w:rPr>
                <w:rFonts w:ascii="宋体" w:eastAsia="宋体" w:hAnsi="宋体"/>
                <w:color w:val="FF0000"/>
                <w:sz w:val="22"/>
                <w:szCs w:val="22"/>
              </w:rPr>
            </w:pPr>
            <w:r w:rsidRPr="00E424F0">
              <w:rPr>
                <w:rFonts w:ascii="宋体" w:eastAsia="宋体" w:hAnsi="宋体" w:hint="eastAsia"/>
                <w:color w:val="FF0000"/>
                <w:sz w:val="22"/>
                <w:szCs w:val="22"/>
              </w:rPr>
              <w:t xml:space="preserve"> </w:t>
            </w:r>
            <w:r w:rsidR="00E424F0" w:rsidRPr="00E424F0">
              <w:rPr>
                <w:rFonts w:ascii="宋体" w:eastAsia="宋体" w:hAnsi="宋体" w:hint="eastAsia"/>
                <w:color w:val="FF0000"/>
                <w:sz w:val="22"/>
                <w:szCs w:val="22"/>
              </w:rPr>
              <w:t>12</w:t>
            </w:r>
            <w:r w:rsidRPr="00E424F0">
              <w:rPr>
                <w:rFonts w:ascii="宋体" w:eastAsia="宋体" w:hAnsi="宋体" w:hint="eastAsia"/>
                <w:color w:val="FF0000"/>
                <w:sz w:val="22"/>
                <w:szCs w:val="22"/>
              </w:rPr>
              <w:t>,</w:t>
            </w:r>
            <w:r w:rsidR="00E424F0" w:rsidRPr="00E424F0">
              <w:rPr>
                <w:rFonts w:ascii="宋体" w:eastAsia="宋体" w:hAnsi="宋体" w:hint="eastAsia"/>
                <w:color w:val="FF0000"/>
                <w:sz w:val="22"/>
                <w:szCs w:val="22"/>
              </w:rPr>
              <w:t>364.43</w:t>
            </w:r>
            <w:r w:rsidRPr="00E424F0">
              <w:rPr>
                <w:rFonts w:ascii="宋体" w:eastAsia="宋体" w:hAnsi="宋体" w:hint="eastAsia"/>
                <w:color w:val="FF0000"/>
                <w:sz w:val="22"/>
                <w:szCs w:val="22"/>
              </w:rPr>
              <w:t xml:space="preserve"> </w:t>
            </w:r>
          </w:p>
        </w:tc>
      </w:tr>
      <w:tr w:rsidR="00D0176B" w14:paraId="27FBE744"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2034AF0E"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202C7B96"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658DF89D"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商业金融业</w:t>
            </w:r>
          </w:p>
        </w:tc>
        <w:tc>
          <w:tcPr>
            <w:tcW w:w="1542" w:type="dxa"/>
            <w:tcBorders>
              <w:top w:val="nil"/>
              <w:left w:val="nil"/>
              <w:bottom w:val="single" w:sz="4" w:space="0" w:color="auto"/>
              <w:right w:val="single" w:sz="4" w:space="0" w:color="auto"/>
            </w:tcBorders>
            <w:shd w:val="clear" w:color="auto" w:fill="auto"/>
            <w:noWrap/>
            <w:vAlign w:val="center"/>
            <w:hideMark/>
          </w:tcPr>
          <w:p w14:paraId="1287980C"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76E0C53F"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302,268.57 </w:t>
            </w:r>
          </w:p>
        </w:tc>
      </w:tr>
      <w:tr w:rsidR="00D0176B" w14:paraId="6876781A"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05E3EC68"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13F0F6F3"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1E3E7F5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商业</w:t>
            </w:r>
          </w:p>
        </w:tc>
        <w:tc>
          <w:tcPr>
            <w:tcW w:w="1542" w:type="dxa"/>
            <w:tcBorders>
              <w:top w:val="nil"/>
              <w:left w:val="nil"/>
              <w:bottom w:val="single" w:sz="4" w:space="0" w:color="auto"/>
              <w:right w:val="single" w:sz="4" w:space="0" w:color="auto"/>
            </w:tcBorders>
            <w:shd w:val="clear" w:color="auto" w:fill="auto"/>
            <w:noWrap/>
            <w:vAlign w:val="center"/>
            <w:hideMark/>
          </w:tcPr>
          <w:p w14:paraId="5EA86693"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7D740F28"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43,751.88 </w:t>
            </w:r>
          </w:p>
        </w:tc>
      </w:tr>
      <w:tr w:rsidR="00D0176B" w14:paraId="4EA31AA0"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23EA5FFA"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7170CE30"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0FA2F583"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商业街区</w:t>
            </w:r>
          </w:p>
        </w:tc>
        <w:tc>
          <w:tcPr>
            <w:tcW w:w="1542" w:type="dxa"/>
            <w:tcBorders>
              <w:top w:val="nil"/>
              <w:left w:val="nil"/>
              <w:bottom w:val="single" w:sz="4" w:space="0" w:color="auto"/>
              <w:right w:val="single" w:sz="4" w:space="0" w:color="auto"/>
            </w:tcBorders>
            <w:shd w:val="clear" w:color="auto" w:fill="auto"/>
            <w:noWrap/>
            <w:vAlign w:val="center"/>
            <w:hideMark/>
          </w:tcPr>
          <w:p w14:paraId="79B14F9E"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224866F9"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20,734.00 </w:t>
            </w:r>
          </w:p>
        </w:tc>
      </w:tr>
      <w:tr w:rsidR="00D0176B" w14:paraId="62E40A80"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6241407E"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7C540FD7"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3FF0A4C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酒店</w:t>
            </w:r>
          </w:p>
        </w:tc>
        <w:tc>
          <w:tcPr>
            <w:tcW w:w="1542" w:type="dxa"/>
            <w:tcBorders>
              <w:top w:val="nil"/>
              <w:left w:val="nil"/>
              <w:bottom w:val="single" w:sz="4" w:space="0" w:color="auto"/>
              <w:right w:val="single" w:sz="4" w:space="0" w:color="auto"/>
            </w:tcBorders>
            <w:shd w:val="clear" w:color="auto" w:fill="auto"/>
            <w:noWrap/>
            <w:vAlign w:val="center"/>
            <w:hideMark/>
          </w:tcPr>
          <w:p w14:paraId="0DEEB2A0"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1947646B"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20,456.64 </w:t>
            </w:r>
          </w:p>
        </w:tc>
      </w:tr>
      <w:tr w:rsidR="00D0176B" w14:paraId="0B4B64E5"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6173C217"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30E9D448"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1581A587"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办公</w:t>
            </w:r>
          </w:p>
        </w:tc>
        <w:tc>
          <w:tcPr>
            <w:tcW w:w="1542" w:type="dxa"/>
            <w:tcBorders>
              <w:top w:val="nil"/>
              <w:left w:val="nil"/>
              <w:bottom w:val="single" w:sz="4" w:space="0" w:color="auto"/>
              <w:right w:val="single" w:sz="4" w:space="0" w:color="auto"/>
            </w:tcBorders>
            <w:shd w:val="clear" w:color="auto" w:fill="auto"/>
            <w:noWrap/>
            <w:vAlign w:val="center"/>
            <w:hideMark/>
          </w:tcPr>
          <w:p w14:paraId="29B7D794"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0CD610B3"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20,151.94 </w:t>
            </w:r>
          </w:p>
        </w:tc>
      </w:tr>
      <w:tr w:rsidR="00D0176B" w14:paraId="090C6881"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666A4BB4"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16E7202B"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3BC9DB0D"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医院</w:t>
            </w:r>
          </w:p>
        </w:tc>
        <w:tc>
          <w:tcPr>
            <w:tcW w:w="1542" w:type="dxa"/>
            <w:tcBorders>
              <w:top w:val="nil"/>
              <w:left w:val="nil"/>
              <w:bottom w:val="single" w:sz="4" w:space="0" w:color="auto"/>
              <w:right w:val="single" w:sz="4" w:space="0" w:color="auto"/>
            </w:tcBorders>
            <w:shd w:val="clear" w:color="auto" w:fill="auto"/>
            <w:noWrap/>
            <w:vAlign w:val="center"/>
            <w:hideMark/>
          </w:tcPr>
          <w:p w14:paraId="49E55BDC"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7F01F477"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30,500.00 </w:t>
            </w:r>
          </w:p>
        </w:tc>
      </w:tr>
      <w:tr w:rsidR="00D0176B" w14:paraId="5B74B428"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3C11C64D"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10F13C9C"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11AEEED6"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培训中心</w:t>
            </w:r>
          </w:p>
        </w:tc>
        <w:tc>
          <w:tcPr>
            <w:tcW w:w="1542" w:type="dxa"/>
            <w:tcBorders>
              <w:top w:val="nil"/>
              <w:left w:val="nil"/>
              <w:bottom w:val="single" w:sz="4" w:space="0" w:color="auto"/>
              <w:right w:val="single" w:sz="4" w:space="0" w:color="auto"/>
            </w:tcBorders>
            <w:shd w:val="clear" w:color="auto" w:fill="auto"/>
            <w:noWrap/>
            <w:vAlign w:val="center"/>
            <w:hideMark/>
          </w:tcPr>
          <w:p w14:paraId="7F0D4A20"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3BE1AB48"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3,600.00 </w:t>
            </w:r>
          </w:p>
        </w:tc>
      </w:tr>
      <w:tr w:rsidR="00D0176B" w14:paraId="491A8483"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27305BEB"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054303BE"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76F33A6E"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人防地上出口</w:t>
            </w:r>
          </w:p>
        </w:tc>
        <w:tc>
          <w:tcPr>
            <w:tcW w:w="1542" w:type="dxa"/>
            <w:tcBorders>
              <w:top w:val="nil"/>
              <w:left w:val="nil"/>
              <w:bottom w:val="single" w:sz="4" w:space="0" w:color="auto"/>
              <w:right w:val="single" w:sz="4" w:space="0" w:color="auto"/>
            </w:tcBorders>
            <w:shd w:val="clear" w:color="auto" w:fill="auto"/>
            <w:noWrap/>
            <w:vAlign w:val="center"/>
            <w:hideMark/>
          </w:tcPr>
          <w:p w14:paraId="6C1586D1"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10E1FFAF"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614.40 </w:t>
            </w:r>
          </w:p>
        </w:tc>
      </w:tr>
      <w:tr w:rsidR="00D0176B" w14:paraId="0CBB11BB"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195A6850" w14:textId="77777777" w:rsidR="00D0176B" w:rsidRDefault="00D0176B">
            <w:pPr>
              <w:rPr>
                <w:rFonts w:ascii="宋体" w:eastAsia="宋体" w:hAnsi="宋体"/>
                <w:color w:val="000000"/>
                <w:sz w:val="22"/>
                <w:szCs w:val="22"/>
              </w:rPr>
            </w:pPr>
          </w:p>
        </w:tc>
        <w:tc>
          <w:tcPr>
            <w:tcW w:w="688" w:type="dxa"/>
            <w:vMerge/>
            <w:tcBorders>
              <w:top w:val="nil"/>
              <w:left w:val="single" w:sz="4" w:space="0" w:color="auto"/>
              <w:bottom w:val="single" w:sz="4" w:space="0" w:color="auto"/>
              <w:right w:val="single" w:sz="4" w:space="0" w:color="auto"/>
            </w:tcBorders>
            <w:vAlign w:val="center"/>
            <w:hideMark/>
          </w:tcPr>
          <w:p w14:paraId="3C608CEB" w14:textId="77777777" w:rsidR="00D0176B" w:rsidRDefault="00D0176B">
            <w:pPr>
              <w:rPr>
                <w:rFonts w:ascii="宋体" w:eastAsia="宋体" w:hAnsi="宋体"/>
                <w:color w:val="000000"/>
                <w:sz w:val="22"/>
                <w:szCs w:val="22"/>
              </w:rPr>
            </w:pPr>
          </w:p>
        </w:tc>
        <w:tc>
          <w:tcPr>
            <w:tcW w:w="3466" w:type="dxa"/>
            <w:tcBorders>
              <w:top w:val="nil"/>
              <w:left w:val="nil"/>
              <w:bottom w:val="single" w:sz="4" w:space="0" w:color="auto"/>
              <w:right w:val="single" w:sz="4" w:space="0" w:color="auto"/>
            </w:tcBorders>
            <w:shd w:val="clear" w:color="auto" w:fill="auto"/>
            <w:noWrap/>
            <w:vAlign w:val="center"/>
            <w:hideMark/>
          </w:tcPr>
          <w:p w14:paraId="5F0AF4A0"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配套公建</w:t>
            </w:r>
          </w:p>
        </w:tc>
        <w:tc>
          <w:tcPr>
            <w:tcW w:w="1542" w:type="dxa"/>
            <w:tcBorders>
              <w:top w:val="nil"/>
              <w:left w:val="nil"/>
              <w:bottom w:val="single" w:sz="4" w:space="0" w:color="auto"/>
              <w:right w:val="single" w:sz="4" w:space="0" w:color="auto"/>
            </w:tcBorders>
            <w:shd w:val="clear" w:color="auto" w:fill="auto"/>
            <w:noWrap/>
            <w:vAlign w:val="center"/>
            <w:hideMark/>
          </w:tcPr>
          <w:p w14:paraId="4257957C"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350E9D73"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5,311.82 </w:t>
            </w:r>
          </w:p>
        </w:tc>
      </w:tr>
      <w:tr w:rsidR="00D0176B" w14:paraId="4808CB43"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7FA3FB50" w14:textId="77777777" w:rsidR="00D0176B" w:rsidRDefault="00D0176B">
            <w:pPr>
              <w:rPr>
                <w:rFonts w:ascii="宋体" w:eastAsia="宋体" w:hAnsi="宋体"/>
                <w:color w:val="000000"/>
                <w:sz w:val="22"/>
                <w:szCs w:val="22"/>
              </w:rPr>
            </w:pPr>
          </w:p>
        </w:tc>
        <w:tc>
          <w:tcPr>
            <w:tcW w:w="41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ED17BC"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地下建筑面积</w:t>
            </w:r>
          </w:p>
        </w:tc>
        <w:tc>
          <w:tcPr>
            <w:tcW w:w="1542" w:type="dxa"/>
            <w:tcBorders>
              <w:top w:val="nil"/>
              <w:left w:val="nil"/>
              <w:bottom w:val="single" w:sz="4" w:space="0" w:color="auto"/>
              <w:right w:val="single" w:sz="4" w:space="0" w:color="auto"/>
            </w:tcBorders>
            <w:shd w:val="clear" w:color="auto" w:fill="auto"/>
            <w:noWrap/>
            <w:vAlign w:val="center"/>
            <w:hideMark/>
          </w:tcPr>
          <w:p w14:paraId="32B461E3"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4D1C0C18"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175,410.80 </w:t>
            </w:r>
          </w:p>
        </w:tc>
      </w:tr>
      <w:tr w:rsidR="00D0176B" w14:paraId="585B7635"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9B50"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容积率</w:t>
            </w:r>
          </w:p>
        </w:tc>
        <w:tc>
          <w:tcPr>
            <w:tcW w:w="1542" w:type="dxa"/>
            <w:tcBorders>
              <w:top w:val="nil"/>
              <w:left w:val="nil"/>
              <w:bottom w:val="single" w:sz="4" w:space="0" w:color="auto"/>
              <w:right w:val="single" w:sz="4" w:space="0" w:color="auto"/>
            </w:tcBorders>
            <w:shd w:val="clear" w:color="auto" w:fill="auto"/>
            <w:noWrap/>
            <w:vAlign w:val="center"/>
            <w:hideMark/>
          </w:tcPr>
          <w:p w14:paraId="58D51AF6"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 xml:space="preserve">　</w:t>
            </w:r>
          </w:p>
        </w:tc>
        <w:tc>
          <w:tcPr>
            <w:tcW w:w="1781" w:type="dxa"/>
            <w:tcBorders>
              <w:top w:val="nil"/>
              <w:left w:val="nil"/>
              <w:bottom w:val="single" w:sz="4" w:space="0" w:color="auto"/>
              <w:right w:val="single" w:sz="4" w:space="0" w:color="auto"/>
            </w:tcBorders>
            <w:shd w:val="clear" w:color="auto" w:fill="auto"/>
            <w:noWrap/>
            <w:vAlign w:val="center"/>
            <w:hideMark/>
          </w:tcPr>
          <w:p w14:paraId="0278337A"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2.00 </w:t>
            </w:r>
          </w:p>
        </w:tc>
      </w:tr>
      <w:tr w:rsidR="00D0176B" w14:paraId="590DD1C3"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2B383"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建筑密度</w:t>
            </w:r>
          </w:p>
        </w:tc>
        <w:tc>
          <w:tcPr>
            <w:tcW w:w="1542" w:type="dxa"/>
            <w:tcBorders>
              <w:top w:val="nil"/>
              <w:left w:val="nil"/>
              <w:bottom w:val="single" w:sz="4" w:space="0" w:color="auto"/>
              <w:right w:val="single" w:sz="4" w:space="0" w:color="auto"/>
            </w:tcBorders>
            <w:shd w:val="clear" w:color="auto" w:fill="auto"/>
            <w:noWrap/>
            <w:vAlign w:val="center"/>
            <w:hideMark/>
          </w:tcPr>
          <w:p w14:paraId="793D746A"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45A7FFD1" w14:textId="6CD12591" w:rsidR="00D0176B" w:rsidRDefault="00E424F0">
            <w:pPr>
              <w:jc w:val="right"/>
              <w:rPr>
                <w:rFonts w:ascii="宋体" w:eastAsia="宋体" w:hAnsi="宋体"/>
                <w:color w:val="000000"/>
                <w:sz w:val="22"/>
                <w:szCs w:val="22"/>
              </w:rPr>
            </w:pPr>
            <w:r w:rsidRPr="00E424F0">
              <w:rPr>
                <w:rFonts w:ascii="宋体" w:eastAsia="宋体" w:hAnsi="宋体" w:hint="eastAsia"/>
                <w:color w:val="FF0000"/>
                <w:sz w:val="22"/>
                <w:szCs w:val="22"/>
              </w:rPr>
              <w:t>27</w:t>
            </w:r>
            <w:r w:rsidR="00D0176B" w:rsidRPr="00E424F0">
              <w:rPr>
                <w:rFonts w:ascii="宋体" w:eastAsia="宋体" w:hAnsi="宋体" w:hint="eastAsia"/>
                <w:color w:val="FF0000"/>
                <w:sz w:val="22"/>
                <w:szCs w:val="22"/>
              </w:rPr>
              <w:t xml:space="preserve">.00 </w:t>
            </w:r>
          </w:p>
        </w:tc>
      </w:tr>
      <w:tr w:rsidR="00E424F0" w:rsidRPr="00E424F0" w14:paraId="066CB67B"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01B5"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绿地率</w:t>
            </w:r>
          </w:p>
        </w:tc>
        <w:tc>
          <w:tcPr>
            <w:tcW w:w="1542" w:type="dxa"/>
            <w:tcBorders>
              <w:top w:val="nil"/>
              <w:left w:val="nil"/>
              <w:bottom w:val="single" w:sz="4" w:space="0" w:color="auto"/>
              <w:right w:val="single" w:sz="4" w:space="0" w:color="auto"/>
            </w:tcBorders>
            <w:shd w:val="clear" w:color="auto" w:fill="auto"/>
            <w:noWrap/>
            <w:vAlign w:val="center"/>
            <w:hideMark/>
          </w:tcPr>
          <w:p w14:paraId="468F2464"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w:t>
            </w:r>
          </w:p>
        </w:tc>
        <w:tc>
          <w:tcPr>
            <w:tcW w:w="1781" w:type="dxa"/>
            <w:tcBorders>
              <w:top w:val="nil"/>
              <w:left w:val="nil"/>
              <w:bottom w:val="single" w:sz="4" w:space="0" w:color="auto"/>
              <w:right w:val="single" w:sz="4" w:space="0" w:color="auto"/>
            </w:tcBorders>
            <w:shd w:val="clear" w:color="auto" w:fill="auto"/>
            <w:noWrap/>
            <w:vAlign w:val="center"/>
            <w:hideMark/>
          </w:tcPr>
          <w:p w14:paraId="7C73ED8A" w14:textId="0F2368C4" w:rsidR="00D0176B" w:rsidRPr="00E424F0" w:rsidRDefault="00D0176B" w:rsidP="00E424F0">
            <w:pPr>
              <w:jc w:val="right"/>
              <w:rPr>
                <w:rFonts w:ascii="宋体" w:eastAsia="宋体" w:hAnsi="宋体"/>
                <w:color w:val="FF0000"/>
                <w:sz w:val="22"/>
                <w:szCs w:val="22"/>
              </w:rPr>
            </w:pPr>
            <w:r w:rsidRPr="00E424F0">
              <w:rPr>
                <w:rFonts w:ascii="宋体" w:eastAsia="宋体" w:hAnsi="宋体" w:hint="eastAsia"/>
                <w:color w:val="FF0000"/>
                <w:sz w:val="22"/>
                <w:szCs w:val="22"/>
              </w:rPr>
              <w:t xml:space="preserve"> </w:t>
            </w:r>
            <w:r w:rsidR="00E424F0" w:rsidRPr="00E424F0">
              <w:rPr>
                <w:rFonts w:ascii="宋体" w:eastAsia="宋体" w:hAnsi="宋体" w:hint="eastAsia"/>
                <w:color w:val="FF0000"/>
                <w:sz w:val="22"/>
                <w:szCs w:val="22"/>
              </w:rPr>
              <w:t>43</w:t>
            </w:r>
            <w:r w:rsidRPr="00E424F0">
              <w:rPr>
                <w:rFonts w:ascii="宋体" w:eastAsia="宋体" w:hAnsi="宋体" w:hint="eastAsia"/>
                <w:color w:val="FF0000"/>
                <w:sz w:val="22"/>
                <w:szCs w:val="22"/>
              </w:rPr>
              <w:t xml:space="preserve">.00 </w:t>
            </w:r>
          </w:p>
        </w:tc>
      </w:tr>
      <w:tr w:rsidR="00D0176B" w14:paraId="7C51FC49" w14:textId="77777777" w:rsidTr="00D0176B">
        <w:trPr>
          <w:trHeight w:val="272"/>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3D2A"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机动车位</w:t>
            </w:r>
          </w:p>
        </w:tc>
        <w:tc>
          <w:tcPr>
            <w:tcW w:w="1542" w:type="dxa"/>
            <w:tcBorders>
              <w:top w:val="nil"/>
              <w:left w:val="nil"/>
              <w:bottom w:val="single" w:sz="4" w:space="0" w:color="auto"/>
              <w:right w:val="single" w:sz="4" w:space="0" w:color="auto"/>
            </w:tcBorders>
            <w:shd w:val="clear" w:color="auto" w:fill="auto"/>
            <w:noWrap/>
            <w:vAlign w:val="center"/>
            <w:hideMark/>
          </w:tcPr>
          <w:p w14:paraId="2BB43BBE"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辆</w:t>
            </w:r>
          </w:p>
        </w:tc>
        <w:tc>
          <w:tcPr>
            <w:tcW w:w="1781" w:type="dxa"/>
            <w:tcBorders>
              <w:top w:val="nil"/>
              <w:left w:val="nil"/>
              <w:bottom w:val="single" w:sz="4" w:space="0" w:color="auto"/>
              <w:right w:val="single" w:sz="4" w:space="0" w:color="auto"/>
            </w:tcBorders>
            <w:shd w:val="clear" w:color="auto" w:fill="auto"/>
            <w:noWrap/>
            <w:vAlign w:val="center"/>
            <w:hideMark/>
          </w:tcPr>
          <w:p w14:paraId="3C64A670"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3,913.00 </w:t>
            </w:r>
          </w:p>
        </w:tc>
      </w:tr>
      <w:tr w:rsidR="00D0176B" w14:paraId="3CE68864" w14:textId="77777777" w:rsidTr="00D0176B">
        <w:trPr>
          <w:trHeight w:val="272"/>
        </w:trPr>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488868"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其中</w:t>
            </w:r>
          </w:p>
        </w:tc>
        <w:tc>
          <w:tcPr>
            <w:tcW w:w="41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A602C8"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地上车位</w:t>
            </w:r>
          </w:p>
        </w:tc>
        <w:tc>
          <w:tcPr>
            <w:tcW w:w="1542" w:type="dxa"/>
            <w:tcBorders>
              <w:top w:val="nil"/>
              <w:left w:val="nil"/>
              <w:bottom w:val="single" w:sz="4" w:space="0" w:color="auto"/>
              <w:right w:val="single" w:sz="4" w:space="0" w:color="auto"/>
            </w:tcBorders>
            <w:shd w:val="clear" w:color="auto" w:fill="auto"/>
            <w:noWrap/>
            <w:vAlign w:val="center"/>
            <w:hideMark/>
          </w:tcPr>
          <w:p w14:paraId="60C57604"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辆</w:t>
            </w:r>
          </w:p>
        </w:tc>
        <w:tc>
          <w:tcPr>
            <w:tcW w:w="1781" w:type="dxa"/>
            <w:tcBorders>
              <w:top w:val="nil"/>
              <w:left w:val="nil"/>
              <w:bottom w:val="single" w:sz="4" w:space="0" w:color="auto"/>
              <w:right w:val="single" w:sz="4" w:space="0" w:color="auto"/>
            </w:tcBorders>
            <w:shd w:val="clear" w:color="auto" w:fill="auto"/>
            <w:noWrap/>
            <w:vAlign w:val="center"/>
            <w:hideMark/>
          </w:tcPr>
          <w:p w14:paraId="124D5C9C"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466.00 </w:t>
            </w:r>
          </w:p>
        </w:tc>
      </w:tr>
      <w:tr w:rsidR="00D0176B" w14:paraId="4EE7A9EF" w14:textId="77777777" w:rsidTr="00D0176B">
        <w:trPr>
          <w:trHeight w:val="272"/>
        </w:trPr>
        <w:tc>
          <w:tcPr>
            <w:tcW w:w="688" w:type="dxa"/>
            <w:vMerge/>
            <w:tcBorders>
              <w:top w:val="nil"/>
              <w:left w:val="single" w:sz="4" w:space="0" w:color="auto"/>
              <w:bottom w:val="single" w:sz="4" w:space="0" w:color="auto"/>
              <w:right w:val="single" w:sz="4" w:space="0" w:color="auto"/>
            </w:tcBorders>
            <w:vAlign w:val="center"/>
            <w:hideMark/>
          </w:tcPr>
          <w:p w14:paraId="730B353F" w14:textId="77777777" w:rsidR="00D0176B" w:rsidRDefault="00D0176B">
            <w:pPr>
              <w:rPr>
                <w:rFonts w:ascii="宋体" w:eastAsia="宋体" w:hAnsi="宋体"/>
                <w:color w:val="000000"/>
                <w:sz w:val="22"/>
                <w:szCs w:val="22"/>
              </w:rPr>
            </w:pPr>
          </w:p>
        </w:tc>
        <w:tc>
          <w:tcPr>
            <w:tcW w:w="41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06B8B0" w14:textId="77777777" w:rsidR="00D0176B" w:rsidRDefault="00D0176B">
            <w:pPr>
              <w:jc w:val="center"/>
              <w:rPr>
                <w:rFonts w:ascii="宋体" w:eastAsia="宋体" w:hAnsi="宋体"/>
                <w:color w:val="000000"/>
                <w:sz w:val="22"/>
                <w:szCs w:val="22"/>
              </w:rPr>
            </w:pPr>
            <w:r>
              <w:rPr>
                <w:rFonts w:ascii="宋体" w:eastAsia="宋体" w:hAnsi="宋体" w:hint="eastAsia"/>
                <w:color w:val="000000"/>
                <w:sz w:val="22"/>
                <w:szCs w:val="22"/>
              </w:rPr>
              <w:t>地下机动车位</w:t>
            </w:r>
          </w:p>
        </w:tc>
        <w:tc>
          <w:tcPr>
            <w:tcW w:w="1542" w:type="dxa"/>
            <w:tcBorders>
              <w:top w:val="nil"/>
              <w:left w:val="nil"/>
              <w:bottom w:val="single" w:sz="4" w:space="0" w:color="auto"/>
              <w:right w:val="single" w:sz="4" w:space="0" w:color="auto"/>
            </w:tcBorders>
            <w:shd w:val="clear" w:color="auto" w:fill="auto"/>
            <w:noWrap/>
            <w:vAlign w:val="center"/>
            <w:hideMark/>
          </w:tcPr>
          <w:p w14:paraId="6CE7E2B8" w14:textId="77777777" w:rsidR="00D0176B" w:rsidRDefault="00D0176B">
            <w:pPr>
              <w:rPr>
                <w:rFonts w:ascii="宋体" w:eastAsia="宋体" w:hAnsi="宋体"/>
                <w:color w:val="000000"/>
                <w:sz w:val="22"/>
                <w:szCs w:val="22"/>
              </w:rPr>
            </w:pPr>
            <w:r>
              <w:rPr>
                <w:rFonts w:ascii="宋体" w:eastAsia="宋体" w:hAnsi="宋体" w:hint="eastAsia"/>
                <w:color w:val="000000"/>
                <w:sz w:val="22"/>
                <w:szCs w:val="22"/>
              </w:rPr>
              <w:t>辆</w:t>
            </w:r>
          </w:p>
        </w:tc>
        <w:tc>
          <w:tcPr>
            <w:tcW w:w="1781" w:type="dxa"/>
            <w:tcBorders>
              <w:top w:val="nil"/>
              <w:left w:val="nil"/>
              <w:bottom w:val="single" w:sz="4" w:space="0" w:color="auto"/>
              <w:right w:val="single" w:sz="4" w:space="0" w:color="auto"/>
            </w:tcBorders>
            <w:shd w:val="clear" w:color="auto" w:fill="auto"/>
            <w:noWrap/>
            <w:vAlign w:val="center"/>
            <w:hideMark/>
          </w:tcPr>
          <w:p w14:paraId="16F1A22F" w14:textId="77777777" w:rsidR="00D0176B" w:rsidRDefault="00D0176B">
            <w:pPr>
              <w:jc w:val="right"/>
              <w:rPr>
                <w:rFonts w:ascii="宋体" w:eastAsia="宋体" w:hAnsi="宋体"/>
                <w:color w:val="000000"/>
                <w:sz w:val="22"/>
                <w:szCs w:val="22"/>
              </w:rPr>
            </w:pPr>
            <w:r>
              <w:rPr>
                <w:rFonts w:ascii="宋体" w:eastAsia="宋体" w:hAnsi="宋体" w:hint="eastAsia"/>
                <w:color w:val="000000"/>
                <w:sz w:val="22"/>
                <w:szCs w:val="22"/>
              </w:rPr>
              <w:t xml:space="preserve"> 3,447.00 </w:t>
            </w:r>
          </w:p>
        </w:tc>
      </w:tr>
    </w:tbl>
    <w:p w14:paraId="0ABBF642" w14:textId="1FC8F4C4" w:rsidR="0039153E" w:rsidRPr="002A2DB5" w:rsidRDefault="00A51F5D" w:rsidP="002A2DB5">
      <w:pPr>
        <w:pStyle w:val="2"/>
        <w:spacing w:line="360" w:lineRule="auto"/>
        <w:rPr>
          <w:rFonts w:ascii="FangSong" w:eastAsia="FangSong" w:hAnsi="FangSong"/>
        </w:rPr>
      </w:pPr>
      <w:bookmarkStart w:id="4" w:name="_Toc24893508"/>
      <w:r w:rsidRPr="002A2DB5">
        <w:rPr>
          <w:rFonts w:ascii="FangSong" w:eastAsia="FangSong" w:hAnsi="FangSong" w:hint="eastAsia"/>
        </w:rPr>
        <w:t>2.3</w:t>
      </w:r>
      <w:r w:rsidR="0039153E" w:rsidRPr="002A2DB5">
        <w:rPr>
          <w:rFonts w:ascii="FangSong" w:eastAsia="FangSong" w:hAnsi="FangSong" w:hint="eastAsia"/>
        </w:rPr>
        <w:t>运营模式</w:t>
      </w:r>
      <w:bookmarkEnd w:id="4"/>
    </w:p>
    <w:p w14:paraId="5EA992F2" w14:textId="52E97FF8" w:rsidR="005D69DC" w:rsidRPr="002A2DB5" w:rsidRDefault="00FF09DB" w:rsidP="002A2DB5">
      <w:pPr>
        <w:spacing w:line="360" w:lineRule="auto"/>
        <w:ind w:firstLine="680"/>
        <w:rPr>
          <w:rFonts w:ascii="FangSong" w:eastAsia="FangSong" w:hAnsi="FangSong"/>
          <w:sz w:val="28"/>
          <w:szCs w:val="28"/>
        </w:rPr>
      </w:pPr>
      <w:r w:rsidRPr="002A2DB5">
        <w:rPr>
          <w:rFonts w:ascii="FangSong" w:eastAsia="FangSong" w:hAnsi="FangSong" w:hint="eastAsia"/>
          <w:sz w:val="28"/>
          <w:szCs w:val="28"/>
        </w:rPr>
        <w:t>项目建成后，总体规划运营模式方式由以下四部分组成：</w:t>
      </w:r>
    </w:p>
    <w:p w14:paraId="605463E6" w14:textId="381F16E5" w:rsidR="00FF09DB" w:rsidRPr="002A2DB5" w:rsidRDefault="00A2110A" w:rsidP="00122C2C">
      <w:pPr>
        <w:pStyle w:val="a3"/>
        <w:numPr>
          <w:ilvl w:val="0"/>
          <w:numId w:val="16"/>
        </w:numPr>
        <w:spacing w:line="360" w:lineRule="auto"/>
        <w:ind w:firstLineChars="0"/>
        <w:rPr>
          <w:rFonts w:ascii="FangSong" w:eastAsia="FangSong" w:hAnsi="FangSong"/>
          <w:sz w:val="28"/>
          <w:szCs w:val="28"/>
        </w:rPr>
      </w:pPr>
      <w:r w:rsidRPr="002A2DB5">
        <w:rPr>
          <w:rFonts w:ascii="FangSong" w:eastAsia="FangSong" w:hAnsi="FangSong"/>
          <w:sz w:val="28"/>
          <w:szCs w:val="28"/>
        </w:rPr>
        <w:t>养老公寓式养老方式：养老公寓式是本项目的主要养老方式，即老年夫妇共同居住一套养老公寓，享受家庭式的养老生活；</w:t>
      </w:r>
    </w:p>
    <w:p w14:paraId="7DC3F922" w14:textId="77777777" w:rsidR="005C2BC9" w:rsidRPr="002A2DB5" w:rsidRDefault="005C2BC9" w:rsidP="00122C2C">
      <w:pPr>
        <w:pStyle w:val="a3"/>
        <w:numPr>
          <w:ilvl w:val="0"/>
          <w:numId w:val="1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颐养院式的养老方式：颐养院式的养老方式是对养老公寓式养</w:t>
      </w:r>
      <w:r w:rsidRPr="002A2DB5">
        <w:rPr>
          <w:rFonts w:ascii="FangSong" w:eastAsia="FangSong" w:hAnsi="FangSong" w:hint="eastAsia"/>
          <w:sz w:val="28"/>
          <w:szCs w:val="28"/>
        </w:rPr>
        <w:lastRenderedPageBreak/>
        <w:t>老方式的提升和补充，在居住条件上更优越；</w:t>
      </w:r>
    </w:p>
    <w:p w14:paraId="3EA7EE56" w14:textId="77777777" w:rsidR="005C2BC9" w:rsidRPr="002A2DB5" w:rsidRDefault="005C2BC9" w:rsidP="00122C2C">
      <w:pPr>
        <w:pStyle w:val="a3"/>
        <w:numPr>
          <w:ilvl w:val="0"/>
          <w:numId w:val="1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失智失能老人的养老院：这是对失智失能老人提供的养老场所，提供更人性化的服务和照料，提供辅助医疗的全天候服务，减少老年人的痛苦；</w:t>
      </w:r>
    </w:p>
    <w:p w14:paraId="38967A75" w14:textId="6334B1D9" w:rsidR="00A2110A" w:rsidRPr="002A2DB5" w:rsidRDefault="005C2BC9" w:rsidP="00122C2C">
      <w:pPr>
        <w:pStyle w:val="a3"/>
        <w:numPr>
          <w:ilvl w:val="0"/>
          <w:numId w:val="1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临终关怀：临终关怀的目的就是让老年人在人生的最后一个阶段减少痛苦并且有尊严的活着。</w:t>
      </w:r>
    </w:p>
    <w:p w14:paraId="2D930AFF" w14:textId="13C79C14" w:rsidR="00290CE5" w:rsidRPr="002A2DB5" w:rsidRDefault="00B63664" w:rsidP="002A2DB5">
      <w:pPr>
        <w:pStyle w:val="1"/>
        <w:spacing w:line="360" w:lineRule="auto"/>
        <w:rPr>
          <w:rFonts w:ascii="FangSong" w:eastAsia="FangSong" w:hAnsi="FangSong"/>
        </w:rPr>
      </w:pPr>
      <w:bookmarkStart w:id="5" w:name="_Toc24893509"/>
      <w:r w:rsidRPr="002A2DB5">
        <w:rPr>
          <w:rFonts w:ascii="FangSong" w:eastAsia="FangSong" w:hAnsi="FangSong" w:hint="eastAsia"/>
        </w:rPr>
        <w:t>三、</w:t>
      </w:r>
      <w:r w:rsidR="00290CE5" w:rsidRPr="002A2DB5">
        <w:rPr>
          <w:rFonts w:ascii="FangSong" w:eastAsia="FangSong" w:hAnsi="FangSong" w:hint="eastAsia"/>
        </w:rPr>
        <w:t>行业分析</w:t>
      </w:r>
      <w:bookmarkEnd w:id="5"/>
    </w:p>
    <w:p w14:paraId="5259D754" w14:textId="7BC636C8" w:rsidR="0093241B" w:rsidRPr="002A2DB5" w:rsidRDefault="0093241B" w:rsidP="002A2DB5">
      <w:pPr>
        <w:pStyle w:val="2"/>
        <w:spacing w:line="360" w:lineRule="auto"/>
        <w:rPr>
          <w:rFonts w:ascii="FangSong" w:eastAsia="FangSong" w:hAnsi="FangSong"/>
        </w:rPr>
      </w:pPr>
      <w:bookmarkStart w:id="6" w:name="_Toc24893510"/>
      <w:r w:rsidRPr="002A2DB5">
        <w:rPr>
          <w:rFonts w:ascii="FangSong" w:eastAsia="FangSong" w:hAnsi="FangSong" w:hint="eastAsia"/>
        </w:rPr>
        <w:t>3.1</w:t>
      </w:r>
      <w:r w:rsidR="00E75F84" w:rsidRPr="002A2DB5">
        <w:rPr>
          <w:rFonts w:ascii="FangSong" w:eastAsia="FangSong" w:hAnsi="FangSong" w:hint="eastAsia"/>
        </w:rPr>
        <w:t>行业概况</w:t>
      </w:r>
      <w:bookmarkEnd w:id="6"/>
    </w:p>
    <w:p w14:paraId="4B0147F0" w14:textId="5E9122FD" w:rsidR="00947E78" w:rsidRPr="002A2DB5" w:rsidRDefault="008F46A1" w:rsidP="002A2DB5">
      <w:pPr>
        <w:spacing w:line="360" w:lineRule="auto"/>
        <w:outlineLvl w:val="0"/>
        <w:rPr>
          <w:rFonts w:ascii="FangSong" w:eastAsia="FangSong" w:hAnsi="FangSong"/>
          <w:sz w:val="28"/>
          <w:szCs w:val="28"/>
        </w:rPr>
      </w:pPr>
      <w:r w:rsidRPr="002A2DB5">
        <w:rPr>
          <w:rFonts w:ascii="FangSong" w:eastAsia="FangSong" w:hAnsi="FangSong" w:hint="eastAsia"/>
          <w:sz w:val="28"/>
          <w:szCs w:val="28"/>
        </w:rPr>
        <w:t>1、</w:t>
      </w:r>
      <w:r w:rsidR="00947E78" w:rsidRPr="002A2DB5">
        <w:rPr>
          <w:rFonts w:ascii="FangSong" w:eastAsia="FangSong" w:hAnsi="FangSong" w:hint="eastAsia"/>
          <w:sz w:val="28"/>
          <w:szCs w:val="28"/>
        </w:rPr>
        <w:t>定义</w:t>
      </w:r>
    </w:p>
    <w:p w14:paraId="08C68E05" w14:textId="5F6500C0" w:rsidR="00947E78" w:rsidRPr="002A2DB5" w:rsidRDefault="008F46A1"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养老地产是指由企业开发主导的以养老为主题的产权类项目，是养老住宅+一般住宅+配套+服务的综合开发模式。养老地产是各种养老保障服务的整合中断，通过在功能组合与产品形态上与养老产业相互渗透，可以创造出更大的居住价值与商业价值。</w:t>
      </w:r>
    </w:p>
    <w:p w14:paraId="5D1FC33B" w14:textId="49832175" w:rsidR="00947E78" w:rsidRPr="002A2DB5" w:rsidRDefault="008F46A1" w:rsidP="002A2DB5">
      <w:pPr>
        <w:spacing w:line="360" w:lineRule="auto"/>
        <w:outlineLvl w:val="0"/>
        <w:rPr>
          <w:rFonts w:ascii="FangSong" w:eastAsia="FangSong" w:hAnsi="FangSong"/>
          <w:sz w:val="28"/>
          <w:szCs w:val="28"/>
        </w:rPr>
      </w:pPr>
      <w:r w:rsidRPr="002A2DB5">
        <w:rPr>
          <w:rFonts w:ascii="FangSong" w:eastAsia="FangSong" w:hAnsi="FangSong" w:hint="eastAsia"/>
          <w:sz w:val="28"/>
          <w:szCs w:val="28"/>
        </w:rPr>
        <w:t>2、</w:t>
      </w:r>
      <w:r w:rsidR="00947E78" w:rsidRPr="002A2DB5">
        <w:rPr>
          <w:rFonts w:ascii="FangSong" w:eastAsia="FangSong" w:hAnsi="FangSong" w:hint="eastAsia"/>
          <w:sz w:val="28"/>
          <w:szCs w:val="28"/>
        </w:rPr>
        <w:t>特点</w:t>
      </w:r>
    </w:p>
    <w:p w14:paraId="40DAB252" w14:textId="4BFCDC05" w:rsidR="008F46A1" w:rsidRPr="002A2DB5" w:rsidRDefault="008F46A1"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真正的养老地产必须包括部分长期持有的经营性物业，其核心是服务与运营，而不仅是产品本身。相比一般住宅开发：</w:t>
      </w:r>
    </w:p>
    <w:p w14:paraId="01B30614" w14:textId="5828C900" w:rsidR="008F46A1" w:rsidRPr="002A2DB5" w:rsidRDefault="008F46A1" w:rsidP="00122C2C">
      <w:pPr>
        <w:pStyle w:val="a3"/>
        <w:numPr>
          <w:ilvl w:val="0"/>
          <w:numId w:val="1"/>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养老地产提供良好的居住环境与方便的适老化产品，满足老年人生理与生活需求；</w:t>
      </w:r>
    </w:p>
    <w:p w14:paraId="43612D4F" w14:textId="35ECD473" w:rsidR="008F46A1" w:rsidRPr="002A2DB5" w:rsidRDefault="0002019C" w:rsidP="00122C2C">
      <w:pPr>
        <w:pStyle w:val="a3"/>
        <w:numPr>
          <w:ilvl w:val="0"/>
          <w:numId w:val="1"/>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养老地产必须提供满足老年人需求的配套，尤其医疗配套；</w:t>
      </w:r>
    </w:p>
    <w:p w14:paraId="7FA063D2" w14:textId="3F643E66" w:rsidR="0002019C" w:rsidRPr="002A2DB5" w:rsidRDefault="0002019C" w:rsidP="00122C2C">
      <w:pPr>
        <w:pStyle w:val="a3"/>
        <w:numPr>
          <w:ilvl w:val="0"/>
          <w:numId w:val="1"/>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非短期回款类物业，需长期持续盈利的经营性物业开发。</w:t>
      </w:r>
    </w:p>
    <w:p w14:paraId="2C3A5ED6" w14:textId="26C458FC" w:rsidR="007F045E"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55967C95" wp14:editId="2A48A263">
            <wp:extent cx="5270500" cy="2837180"/>
            <wp:effectExtent l="0" t="0" r="1270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屏幕快照 2019-10-29 下午2.42.58.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2837180"/>
                    </a:xfrm>
                    <a:prstGeom prst="rect">
                      <a:avLst/>
                    </a:prstGeom>
                  </pic:spPr>
                </pic:pic>
              </a:graphicData>
            </a:graphic>
          </wp:inline>
        </w:drawing>
      </w:r>
    </w:p>
    <w:p w14:paraId="66869A24" w14:textId="23EFCE0C" w:rsidR="00947E78" w:rsidRPr="002A2DB5" w:rsidRDefault="00F10362" w:rsidP="002A2DB5">
      <w:pPr>
        <w:spacing w:line="360" w:lineRule="auto"/>
        <w:rPr>
          <w:rFonts w:ascii="FangSong" w:eastAsia="FangSong" w:hAnsi="FangSong"/>
          <w:sz w:val="28"/>
          <w:szCs w:val="28"/>
        </w:rPr>
      </w:pPr>
      <w:r w:rsidRPr="002A2DB5">
        <w:rPr>
          <w:rFonts w:ascii="FangSong" w:eastAsia="FangSong" w:hAnsi="FangSong" w:hint="eastAsia"/>
          <w:sz w:val="28"/>
          <w:szCs w:val="28"/>
        </w:rPr>
        <w:t>3</w:t>
      </w:r>
      <w:r w:rsidR="008F46A1" w:rsidRPr="002A2DB5">
        <w:rPr>
          <w:rFonts w:ascii="FangSong" w:eastAsia="FangSong" w:hAnsi="FangSong" w:hint="eastAsia"/>
          <w:sz w:val="28"/>
          <w:szCs w:val="28"/>
        </w:rPr>
        <w:t>、</w:t>
      </w:r>
      <w:r w:rsidR="00947E78" w:rsidRPr="002A2DB5">
        <w:rPr>
          <w:rFonts w:ascii="FangSong" w:eastAsia="FangSong" w:hAnsi="FangSong" w:hint="eastAsia"/>
          <w:sz w:val="28"/>
          <w:szCs w:val="28"/>
        </w:rPr>
        <w:t>产业链概况</w:t>
      </w:r>
    </w:p>
    <w:p w14:paraId="18E282C4" w14:textId="7CEFDE38" w:rsidR="00DF44E1" w:rsidRPr="002A2DB5" w:rsidRDefault="00DF44E1"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从养老地产产业链来看，主要涉及养老住宅及服务提供者、消费者和养老资金来源三个层面，所涉及机构包括政府、地产公司、养老服务机构、保险机构、其他投资者和养老人群。</w:t>
      </w:r>
    </w:p>
    <w:p w14:paraId="1ED01E23" w14:textId="239616F2" w:rsidR="00E75F84" w:rsidRPr="002A2DB5" w:rsidRDefault="00E75F84" w:rsidP="00122C2C">
      <w:pPr>
        <w:pStyle w:val="a3"/>
        <w:numPr>
          <w:ilvl w:val="0"/>
          <w:numId w:val="3"/>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养老产业产业链概况图</w:t>
      </w:r>
    </w:p>
    <w:p w14:paraId="2E6FEF09" w14:textId="652EF7DA" w:rsidR="00E75F84"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55E760B4" wp14:editId="747201ED">
            <wp:extent cx="5270500" cy="323469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屏幕快照 2019-10-29 下午2.44.53.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3234690"/>
                    </a:xfrm>
                    <a:prstGeom prst="rect">
                      <a:avLst/>
                    </a:prstGeom>
                  </pic:spPr>
                </pic:pic>
              </a:graphicData>
            </a:graphic>
          </wp:inline>
        </w:drawing>
      </w:r>
    </w:p>
    <w:p w14:paraId="374D17C8" w14:textId="27A635F0" w:rsidR="00E75F84" w:rsidRPr="002A2DB5" w:rsidRDefault="00E75F84" w:rsidP="00122C2C">
      <w:pPr>
        <w:pStyle w:val="a3"/>
        <w:numPr>
          <w:ilvl w:val="0"/>
          <w:numId w:val="3"/>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养老产业涉及主要产业板块</w:t>
      </w:r>
    </w:p>
    <w:p w14:paraId="4F739EE5" w14:textId="0EFA4683" w:rsidR="00246B3C"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2DBF31F1" wp14:editId="2D1FC292">
            <wp:extent cx="5270500" cy="3329305"/>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屏幕快照 2019-10-29 下午2.45.03.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3329305"/>
                    </a:xfrm>
                    <a:prstGeom prst="rect">
                      <a:avLst/>
                    </a:prstGeom>
                  </pic:spPr>
                </pic:pic>
              </a:graphicData>
            </a:graphic>
          </wp:inline>
        </w:drawing>
      </w:r>
    </w:p>
    <w:p w14:paraId="0BE601B1" w14:textId="46728D97" w:rsidR="00F10362" w:rsidRPr="002A2DB5" w:rsidRDefault="00F10362" w:rsidP="002A2DB5">
      <w:pPr>
        <w:spacing w:line="360" w:lineRule="auto"/>
        <w:rPr>
          <w:rFonts w:ascii="FangSong" w:eastAsia="FangSong" w:hAnsi="FangSong"/>
          <w:sz w:val="28"/>
          <w:szCs w:val="28"/>
        </w:rPr>
      </w:pPr>
      <w:r w:rsidRPr="002A2DB5">
        <w:rPr>
          <w:rFonts w:ascii="FangSong" w:eastAsia="FangSong" w:hAnsi="FangSong" w:hint="eastAsia"/>
          <w:sz w:val="28"/>
          <w:szCs w:val="28"/>
        </w:rPr>
        <w:t>3、国内主流模式</w:t>
      </w:r>
    </w:p>
    <w:p w14:paraId="11DBABFC" w14:textId="77777777" w:rsidR="00F10362" w:rsidRPr="002A2DB5" w:rsidRDefault="00F10362"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中国养老体系主要有三种基本模式：</w:t>
      </w:r>
    </w:p>
    <w:p w14:paraId="33619D5E" w14:textId="77777777" w:rsidR="00F10362" w:rsidRPr="002A2DB5" w:rsidRDefault="00F10362" w:rsidP="00122C2C">
      <w:pPr>
        <w:pStyle w:val="a3"/>
        <w:numPr>
          <w:ilvl w:val="0"/>
          <w:numId w:val="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居家养老：是以家庭成员作为养老支撑主体，与中国传统思想“养儿防老”相契合，广大农村人口以居家养老模式为主，占整体养老比例90%；</w:t>
      </w:r>
    </w:p>
    <w:p w14:paraId="42DEE92E" w14:textId="77777777" w:rsidR="00F10362" w:rsidRPr="002A2DB5" w:rsidRDefault="00F10362" w:rsidP="00122C2C">
      <w:pPr>
        <w:pStyle w:val="a3"/>
        <w:numPr>
          <w:ilvl w:val="0"/>
          <w:numId w:val="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社区养老：是依赖政府、家庭成员、社会力量为老年人提供养老服务，占整体养老比例7%；</w:t>
      </w:r>
    </w:p>
    <w:p w14:paraId="7CA44EDE" w14:textId="77777777" w:rsidR="00F10362" w:rsidRPr="002A2DB5" w:rsidRDefault="00F10362" w:rsidP="00122C2C">
      <w:pPr>
        <w:pStyle w:val="a3"/>
        <w:numPr>
          <w:ilvl w:val="0"/>
          <w:numId w:val="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机构养老：例如养老院、养老公寓（养老地产）等，是以社会保障制度为根本，由复合型机构组件来提供养老资源的一种养老模式，占整体养老比例3%。</w:t>
      </w:r>
    </w:p>
    <w:p w14:paraId="4E1F9D22" w14:textId="4252D356" w:rsidR="00F10362" w:rsidRPr="002A2DB5" w:rsidRDefault="00F10362" w:rsidP="002A2DB5">
      <w:pPr>
        <w:spacing w:line="360" w:lineRule="auto"/>
        <w:rPr>
          <w:rFonts w:ascii="FangSong" w:eastAsia="FangSong" w:hAnsi="FangSong"/>
          <w:sz w:val="28"/>
          <w:szCs w:val="28"/>
        </w:rPr>
      </w:pPr>
      <w:r w:rsidRPr="002A2DB5">
        <w:rPr>
          <w:rFonts w:ascii="FangSong" w:eastAsia="FangSong" w:hAnsi="FangSong" w:hint="eastAsia"/>
          <w:sz w:val="28"/>
          <w:szCs w:val="28"/>
        </w:rPr>
        <w:t>4、国际主流模式</w:t>
      </w:r>
    </w:p>
    <w:p w14:paraId="41C05E14" w14:textId="01C99C3C" w:rsidR="00F10362" w:rsidRPr="002A2DB5" w:rsidRDefault="00F10362"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3E0495" w:rsidRPr="002A2DB5">
        <w:rPr>
          <w:rFonts w:ascii="FangSong" w:eastAsia="FangSong" w:hAnsi="FangSong" w:hint="eastAsia"/>
          <w:sz w:val="28"/>
          <w:szCs w:val="28"/>
        </w:rPr>
        <w:t>国际主流养老模式主要以美国和日本为代表：</w:t>
      </w:r>
    </w:p>
    <w:p w14:paraId="6D58C6A5" w14:textId="501CE22F" w:rsidR="003E0495" w:rsidRPr="002A2DB5" w:rsidRDefault="003E0495" w:rsidP="00122C2C">
      <w:pPr>
        <w:pStyle w:val="a3"/>
        <w:numPr>
          <w:ilvl w:val="0"/>
          <w:numId w:val="11"/>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美国模式——高度资本化的多元养老</w:t>
      </w:r>
    </w:p>
    <w:p w14:paraId="047CB96F" w14:textId="77777777" w:rsidR="00932280" w:rsidRDefault="003E0495" w:rsidP="00932280">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lastRenderedPageBreak/>
        <w:t>美国主流的养老机构均属于民办盈利性质，养老院80%-90%的</w:t>
      </w:r>
    </w:p>
    <w:p w14:paraId="16A053CA" w14:textId="3FE2888D" w:rsidR="00AD7801" w:rsidRPr="00932280" w:rsidRDefault="003E0495" w:rsidP="00932280">
      <w:pPr>
        <w:spacing w:line="360" w:lineRule="auto"/>
        <w:rPr>
          <w:rFonts w:ascii="FangSong" w:eastAsia="FangSong" w:hAnsi="FangSong"/>
          <w:sz w:val="28"/>
          <w:szCs w:val="28"/>
        </w:rPr>
      </w:pPr>
      <w:r w:rsidRPr="00932280">
        <w:rPr>
          <w:rFonts w:ascii="FangSong" w:eastAsia="FangSong" w:hAnsi="FangSong" w:hint="eastAsia"/>
          <w:sz w:val="28"/>
          <w:szCs w:val="28"/>
        </w:rPr>
        <w:t>收入来源于私人支付。美国养老地产的发展方向是差异化养老社区，目前包括太阳城模式、持续照料社区模式（简称CCRC）、房地产信托基金（REITs</w:t>
      </w:r>
      <w:r w:rsidRPr="00932280">
        <w:rPr>
          <w:rFonts w:ascii="FangSong" w:eastAsia="FangSong" w:hAnsi="FangSong"/>
          <w:sz w:val="28"/>
          <w:szCs w:val="28"/>
        </w:rPr>
        <w:t>）</w:t>
      </w:r>
      <w:r w:rsidRPr="00932280">
        <w:rPr>
          <w:rFonts w:ascii="FangSong" w:eastAsia="FangSong" w:hAnsi="FangSong" w:hint="eastAsia"/>
          <w:sz w:val="28"/>
          <w:szCs w:val="28"/>
        </w:rPr>
        <w:t>参与投资模式。太阳城模式一般以出售为主，部分出租</w:t>
      </w:r>
      <w:r w:rsidR="00AD7801" w:rsidRPr="00932280">
        <w:rPr>
          <w:rFonts w:ascii="FangSong" w:eastAsia="FangSong" w:hAnsi="FangSong" w:hint="eastAsia"/>
          <w:sz w:val="28"/>
          <w:szCs w:val="28"/>
        </w:rPr>
        <w:t>，项目仅针对年龄55-70岁的活跃健康老人，由地产开发商主导，通过销售养老概念住宅，开发商得以收回投资并产生盈利</w:t>
      </w:r>
      <w:r w:rsidRPr="00932280">
        <w:rPr>
          <w:rFonts w:ascii="FangSong" w:eastAsia="FangSong" w:hAnsi="FangSong" w:hint="eastAsia"/>
          <w:sz w:val="28"/>
          <w:szCs w:val="28"/>
        </w:rPr>
        <w:t>；CCRC主要采取出租的方式，</w:t>
      </w:r>
      <w:r w:rsidR="00AD7801" w:rsidRPr="00932280">
        <w:rPr>
          <w:rFonts w:ascii="FangSong" w:eastAsia="FangSong" w:hAnsi="FangSong" w:hint="eastAsia"/>
          <w:sz w:val="28"/>
          <w:szCs w:val="28"/>
        </w:rPr>
        <w:t>是一种持续照料社区，针对自理型、介助型、介护型三类老人，只提供地产租赁权和服务享受权。</w:t>
      </w:r>
      <w:r w:rsidRPr="00932280">
        <w:rPr>
          <w:rFonts w:ascii="FangSong" w:eastAsia="FangSong" w:hAnsi="FangSong" w:hint="eastAsia"/>
          <w:sz w:val="28"/>
          <w:szCs w:val="28"/>
        </w:rPr>
        <w:t>REITs是在金融市场日渐成熟的背景下兴起的，</w:t>
      </w:r>
      <w:r w:rsidR="00AD7801" w:rsidRPr="00932280">
        <w:rPr>
          <w:rFonts w:ascii="FangSong" w:eastAsia="FangSong" w:hAnsi="FangSong" w:hint="eastAsia"/>
          <w:sz w:val="28"/>
          <w:szCs w:val="28"/>
        </w:rPr>
        <w:t>通过出租或委托代理交给运营商赚取租金收益，为地产项目提供资金来源，并为开发商提供退出机制。</w:t>
      </w:r>
    </w:p>
    <w:p w14:paraId="445566EC" w14:textId="273ABD27" w:rsidR="00BD61C6" w:rsidRPr="002A2DB5" w:rsidRDefault="00BD61C6"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t>美国养老地产开发模式：投资、开发和运营相分离。美国投资商一方面通过股权融资获得外部资金注入，降低融资成本，另一方面，通过多元化投资，与运营商建立长期稳定合作关系，确保收入增长，并赚取超额利润。美国的投资商一般与运营商签订长期租赁合同或委托经营合同，以保证旗下物业的入住率和租金增长，从而确保营业收入的增长。</w:t>
      </w:r>
    </w:p>
    <w:p w14:paraId="0068C962" w14:textId="35C9C510" w:rsidR="00BD61C6" w:rsidRPr="002A2DB5" w:rsidRDefault="00BD61C6"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t>美国养老运营商的商业逻辑是规模化发展：规模化发展是降低经营成本、提高盈利能力的关键。美国养老运营市场集中度较高，2012年以来前十运营商拥有房间数占前五十房间总数比例即维持60%左右。截至2018年6月1日，前十大运营商拥有项目2502个，</w:t>
      </w:r>
      <w:r w:rsidRPr="002A2DB5">
        <w:rPr>
          <w:rFonts w:ascii="FangSong" w:eastAsia="FangSong" w:hAnsi="FangSong" w:hint="eastAsia"/>
          <w:sz w:val="28"/>
          <w:szCs w:val="28"/>
        </w:rPr>
        <w:lastRenderedPageBreak/>
        <w:t>房间数31.2万间；其中龙头运营商Brookdale即拥有项目994个、房间数9.6万间。</w:t>
      </w:r>
    </w:p>
    <w:p w14:paraId="76D4786D" w14:textId="1FBB24F5" w:rsidR="003E0495" w:rsidRPr="002A2DB5" w:rsidRDefault="003E0495" w:rsidP="00122C2C">
      <w:pPr>
        <w:pStyle w:val="a3"/>
        <w:numPr>
          <w:ilvl w:val="0"/>
          <w:numId w:val="11"/>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日本模式——法律制度推进下的医养结合</w:t>
      </w:r>
    </w:p>
    <w:p w14:paraId="54C4E7C4" w14:textId="76A566E5" w:rsidR="0016302B" w:rsidRPr="002A2DB5" w:rsidRDefault="00932280" w:rsidP="00932280">
      <w:pPr>
        <w:spacing w:line="360" w:lineRule="auto"/>
        <w:ind w:firstLine="480"/>
        <w:rPr>
          <w:rFonts w:ascii="FangSong" w:eastAsia="FangSong" w:hAnsi="FangSong"/>
          <w:sz w:val="28"/>
          <w:szCs w:val="28"/>
        </w:rPr>
      </w:pPr>
      <w:r>
        <w:rPr>
          <w:rFonts w:ascii="FangSong" w:eastAsia="FangSong" w:hAnsi="FangSong" w:hint="eastAsia"/>
          <w:sz w:val="28"/>
          <w:szCs w:val="28"/>
        </w:rPr>
        <w:t xml:space="preserve">  </w:t>
      </w:r>
      <w:r w:rsidR="00575EDF" w:rsidRPr="002A2DB5">
        <w:rPr>
          <w:rFonts w:ascii="FangSong" w:eastAsia="FangSong" w:hAnsi="FangSong" w:hint="eastAsia"/>
          <w:sz w:val="28"/>
          <w:szCs w:val="28"/>
        </w:rPr>
        <w:t>日本依托介户保险制度、多层次年金计划、医疗保险制度及相关法律共同保障。介护保险制度：是由保险基金、参保人和服务供应商组成。2000年4月，日本《介护保险法》正式实施，主要围绕老年长期照护制度展开，实现居家养老和机构养老互补。多层次年金计划：1959年4月日本国会批准通过了《国民年金法》，1961年开始实施，从此日本进入“全民皆年金”时代。综合来看，日本的养老金制度</w:t>
      </w:r>
      <w:r w:rsidR="0033388E" w:rsidRPr="002A2DB5">
        <w:rPr>
          <w:rFonts w:ascii="FangSong" w:eastAsia="FangSong" w:hAnsi="FangSong" w:hint="eastAsia"/>
          <w:sz w:val="28"/>
          <w:szCs w:val="28"/>
        </w:rPr>
        <w:t>是以“强制”为核心的增加养老金收入的办法，包括强制性的国民年金、雇员年金（厚生年金和共济年金）、企业年金。后来为了应对财政压力，组建年金经营基金会，引进基金管理机构的竞争机制；强制推迟养老金支付年限、扩大投保来源。目前日本医疗保险体系主要由雇员健康保险、国民健康保险、特殊行业健康保险组成。此外为环节老龄化压力，日本建立老年保健制度，主要覆盖70岁以上老人及65岁以上残疾或卧床老年人，同时为75以上老年人增设后期高龄医疗制度。医疗保险资金通常来源于患者、保险金、公费三方。继《国民年金法》后，建立《老人保健法》、《护理保险法》等重要的法律体系，保证养老地产的持续运转。</w:t>
      </w:r>
      <w:r w:rsidR="0016302B" w:rsidRPr="002A2DB5">
        <w:rPr>
          <w:rFonts w:ascii="FangSong" w:eastAsia="FangSong" w:hAnsi="FangSong" w:hint="eastAsia"/>
          <w:sz w:val="28"/>
          <w:szCs w:val="28"/>
        </w:rPr>
        <w:t>与中国养老院大多位于郊区不同，日本的养老地产项目大多位于成熟的居住区，以地缘性客户为主的特点，极大方便相关养老项</w:t>
      </w:r>
      <w:r w:rsidR="0016302B" w:rsidRPr="002A2DB5">
        <w:rPr>
          <w:rFonts w:ascii="FangSong" w:eastAsia="FangSong" w:hAnsi="FangSong" w:hint="eastAsia"/>
          <w:sz w:val="28"/>
          <w:szCs w:val="28"/>
        </w:rPr>
        <w:lastRenderedPageBreak/>
        <w:t>目开展日间照护、上门服务等介户服务，丰富收入来源。日本养老项目规模普遍较小，房间数大多集中在50-150间左右，具备体量小、先期投入少、销售周期短、人员配置少等优势。在此基础上，通过多个单体的连锁化经营，实现规模经理。日本金融市场不及美国发达，当地养老机构普遍收取一次性入住费，以覆盖前期投资，通过每个月收取管理费覆盖运营成本支出，实现盈利。</w:t>
      </w:r>
    </w:p>
    <w:p w14:paraId="5CD9CC67" w14:textId="20FC2159" w:rsidR="0093241B" w:rsidRPr="002A2DB5" w:rsidRDefault="0093241B" w:rsidP="002A2DB5">
      <w:pPr>
        <w:pStyle w:val="2"/>
        <w:spacing w:line="360" w:lineRule="auto"/>
        <w:rPr>
          <w:rFonts w:ascii="FangSong" w:eastAsia="FangSong" w:hAnsi="FangSong"/>
        </w:rPr>
      </w:pPr>
      <w:bookmarkStart w:id="7" w:name="_Toc24893511"/>
      <w:r w:rsidRPr="002A2DB5">
        <w:rPr>
          <w:rFonts w:ascii="FangSong" w:eastAsia="FangSong" w:hAnsi="FangSong" w:hint="eastAsia"/>
        </w:rPr>
        <w:t>3.2</w:t>
      </w:r>
      <w:r w:rsidR="00947E78" w:rsidRPr="002A2DB5">
        <w:rPr>
          <w:rFonts w:ascii="FangSong" w:eastAsia="FangSong" w:hAnsi="FangSong" w:hint="eastAsia"/>
        </w:rPr>
        <w:t>行业现状</w:t>
      </w:r>
      <w:bookmarkEnd w:id="7"/>
    </w:p>
    <w:p w14:paraId="7E308639" w14:textId="4E49F27C" w:rsidR="00E75F84"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sz w:val="28"/>
          <w:szCs w:val="28"/>
        </w:rPr>
        <w:t>1、居家养老为主</w:t>
      </w:r>
    </w:p>
    <w:p w14:paraId="480C5A5D" w14:textId="40BB7B9F" w:rsidR="00BA3881" w:rsidRPr="002A2DB5" w:rsidRDefault="009854BE"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目前，国内养老模式主要分为居家养老、社区养老和机构养老三种，自2011年以来，我国一直致力于建立以居家为基础、社区为依托、机构为补充、医养相结合的养老服务体系。究其原因，一方面是在“养儿防老”传统的影响下，我国老年人更倾向于在家中接受子女照顾；另外，更重要的是，我国养老资源错配较为严重，老年人口资产不足，难以支撑收费较高的养老机构，居家养老成本相对较低。</w:t>
      </w:r>
    </w:p>
    <w:p w14:paraId="65C7E57B" w14:textId="42695C52" w:rsidR="009854BE" w:rsidRPr="002A2DB5" w:rsidRDefault="00932280" w:rsidP="002A2DB5">
      <w:pPr>
        <w:spacing w:line="360" w:lineRule="auto"/>
        <w:ind w:firstLine="480"/>
        <w:rPr>
          <w:rFonts w:ascii="FangSong" w:eastAsia="FangSong" w:hAnsi="FangSong"/>
          <w:sz w:val="28"/>
          <w:szCs w:val="28"/>
        </w:rPr>
      </w:pPr>
      <w:r>
        <w:rPr>
          <w:rFonts w:ascii="FangSong" w:eastAsia="FangSong" w:hAnsi="FangSong" w:hint="eastAsia"/>
          <w:sz w:val="28"/>
          <w:szCs w:val="28"/>
        </w:rPr>
        <w:t xml:space="preserve"> </w:t>
      </w:r>
      <w:r w:rsidR="009854BE" w:rsidRPr="002A2DB5">
        <w:rPr>
          <w:rFonts w:ascii="FangSong" w:eastAsia="FangSong" w:hAnsi="FangSong" w:hint="eastAsia"/>
          <w:sz w:val="28"/>
          <w:szCs w:val="28"/>
        </w:rPr>
        <w:t>受计划生育政策影响，目前我国独生子女家庭以三口之家为主，比例约为70%，“4-2-1”家庭结构使家庭的养老功能日渐衰弱，赡养服务的负担与日俱增，越来越多的老年人被动空巢。展望未来，政府和社会力量亟需给与养老产业更多的支持，社区养老与机构养老的发展有望提速。</w:t>
      </w:r>
    </w:p>
    <w:p w14:paraId="32EB46F2" w14:textId="0C6B594A" w:rsidR="00F068A8" w:rsidRPr="002A2DB5" w:rsidRDefault="00F068A8"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lastRenderedPageBreak/>
        <w:t>三种养老模式对比：</w:t>
      </w:r>
    </w:p>
    <w:tbl>
      <w:tblPr>
        <w:tblStyle w:val="a4"/>
        <w:tblW w:w="0" w:type="auto"/>
        <w:tblLook w:val="04A0" w:firstRow="1" w:lastRow="0" w:firstColumn="1" w:lastColumn="0" w:noHBand="0" w:noVBand="1"/>
      </w:tblPr>
      <w:tblGrid>
        <w:gridCol w:w="1266"/>
        <w:gridCol w:w="2310"/>
        <w:gridCol w:w="1801"/>
        <w:gridCol w:w="2913"/>
      </w:tblGrid>
      <w:tr w:rsidR="00F068A8" w:rsidRPr="002A2DB5" w14:paraId="527B1234" w14:textId="77777777" w:rsidTr="00F068A8">
        <w:tc>
          <w:tcPr>
            <w:tcW w:w="1266" w:type="dxa"/>
          </w:tcPr>
          <w:p w14:paraId="060E69E1" w14:textId="6493248B" w:rsidR="00F068A8" w:rsidRPr="002A2DB5" w:rsidRDefault="00F068A8" w:rsidP="002A2DB5">
            <w:pPr>
              <w:spacing w:line="360" w:lineRule="auto"/>
              <w:jc w:val="center"/>
              <w:rPr>
                <w:rFonts w:ascii="FangSong" w:eastAsia="FangSong" w:hAnsi="FangSong"/>
                <w:sz w:val="28"/>
                <w:szCs w:val="28"/>
              </w:rPr>
            </w:pPr>
            <w:r w:rsidRPr="002A2DB5">
              <w:rPr>
                <w:rFonts w:ascii="FangSong" w:eastAsia="FangSong" w:hAnsi="FangSong" w:hint="eastAsia"/>
                <w:sz w:val="28"/>
                <w:szCs w:val="28"/>
              </w:rPr>
              <w:t>养老模式</w:t>
            </w:r>
          </w:p>
        </w:tc>
        <w:tc>
          <w:tcPr>
            <w:tcW w:w="2310" w:type="dxa"/>
          </w:tcPr>
          <w:p w14:paraId="7200954E" w14:textId="015C4984" w:rsidR="00F068A8" w:rsidRPr="002A2DB5" w:rsidRDefault="00F068A8" w:rsidP="002A2DB5">
            <w:pPr>
              <w:spacing w:line="360" w:lineRule="auto"/>
              <w:jc w:val="center"/>
              <w:rPr>
                <w:rFonts w:ascii="FangSong" w:eastAsia="FangSong" w:hAnsi="FangSong"/>
                <w:sz w:val="28"/>
                <w:szCs w:val="28"/>
              </w:rPr>
            </w:pPr>
            <w:r w:rsidRPr="002A2DB5">
              <w:rPr>
                <w:rFonts w:ascii="FangSong" w:eastAsia="FangSong" w:hAnsi="FangSong" w:hint="eastAsia"/>
                <w:sz w:val="28"/>
                <w:szCs w:val="28"/>
              </w:rPr>
              <w:t>发生场所</w:t>
            </w:r>
          </w:p>
        </w:tc>
        <w:tc>
          <w:tcPr>
            <w:tcW w:w="1801" w:type="dxa"/>
          </w:tcPr>
          <w:p w14:paraId="1B6CD6DC" w14:textId="711C1DED" w:rsidR="00F068A8" w:rsidRPr="002A2DB5" w:rsidRDefault="00F068A8" w:rsidP="002A2DB5">
            <w:pPr>
              <w:spacing w:line="360" w:lineRule="auto"/>
              <w:jc w:val="center"/>
              <w:rPr>
                <w:rFonts w:ascii="FangSong" w:eastAsia="FangSong" w:hAnsi="FangSong"/>
                <w:sz w:val="28"/>
                <w:szCs w:val="28"/>
              </w:rPr>
            </w:pPr>
            <w:r w:rsidRPr="002A2DB5">
              <w:rPr>
                <w:rFonts w:ascii="FangSong" w:eastAsia="FangSong" w:hAnsi="FangSong" w:hint="eastAsia"/>
                <w:sz w:val="28"/>
                <w:szCs w:val="28"/>
              </w:rPr>
              <w:t>使用群体</w:t>
            </w:r>
          </w:p>
        </w:tc>
        <w:tc>
          <w:tcPr>
            <w:tcW w:w="2913" w:type="dxa"/>
          </w:tcPr>
          <w:p w14:paraId="397B83C6" w14:textId="61C68069" w:rsidR="00F068A8" w:rsidRPr="002A2DB5" w:rsidRDefault="00F068A8" w:rsidP="002A2DB5">
            <w:pPr>
              <w:spacing w:line="360" w:lineRule="auto"/>
              <w:jc w:val="center"/>
              <w:rPr>
                <w:rFonts w:ascii="FangSong" w:eastAsia="FangSong" w:hAnsi="FangSong"/>
                <w:sz w:val="28"/>
                <w:szCs w:val="28"/>
              </w:rPr>
            </w:pPr>
            <w:r w:rsidRPr="002A2DB5">
              <w:rPr>
                <w:rFonts w:ascii="FangSong" w:eastAsia="FangSong" w:hAnsi="FangSong" w:hint="eastAsia"/>
                <w:sz w:val="28"/>
                <w:szCs w:val="28"/>
              </w:rPr>
              <w:t>主要特点</w:t>
            </w:r>
          </w:p>
        </w:tc>
      </w:tr>
      <w:tr w:rsidR="00F068A8" w:rsidRPr="002A2DB5" w14:paraId="55096993" w14:textId="77777777" w:rsidTr="00F068A8">
        <w:tc>
          <w:tcPr>
            <w:tcW w:w="1266" w:type="dxa"/>
          </w:tcPr>
          <w:p w14:paraId="56763579" w14:textId="6DA3B3A0"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居家养老</w:t>
            </w:r>
          </w:p>
        </w:tc>
        <w:tc>
          <w:tcPr>
            <w:tcW w:w="2310" w:type="dxa"/>
          </w:tcPr>
          <w:p w14:paraId="0FEE41F8" w14:textId="1F0D34C1"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老人或子女家中</w:t>
            </w:r>
          </w:p>
        </w:tc>
        <w:tc>
          <w:tcPr>
            <w:tcW w:w="1801" w:type="dxa"/>
          </w:tcPr>
          <w:p w14:paraId="426586DC" w14:textId="7C808BA0"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具有基本生活自理能力的老人</w:t>
            </w:r>
          </w:p>
        </w:tc>
        <w:tc>
          <w:tcPr>
            <w:tcW w:w="2913" w:type="dxa"/>
          </w:tcPr>
          <w:p w14:paraId="4BF36F80" w14:textId="19CBB0C1"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成本较低，老人无需更改住所，家人可陪伴时间较长</w:t>
            </w:r>
          </w:p>
        </w:tc>
      </w:tr>
      <w:tr w:rsidR="00F068A8" w:rsidRPr="002A2DB5" w14:paraId="5E2110C5" w14:textId="77777777" w:rsidTr="00F068A8">
        <w:tc>
          <w:tcPr>
            <w:tcW w:w="1266" w:type="dxa"/>
          </w:tcPr>
          <w:p w14:paraId="652411B4" w14:textId="6E703202"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社区养老</w:t>
            </w:r>
          </w:p>
        </w:tc>
        <w:tc>
          <w:tcPr>
            <w:tcW w:w="2310" w:type="dxa"/>
          </w:tcPr>
          <w:p w14:paraId="33C81669" w14:textId="4CD189A8"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家庭附近社区，如社区老年食堂、日间照料中心、社区卫生服务中心等</w:t>
            </w:r>
          </w:p>
        </w:tc>
        <w:tc>
          <w:tcPr>
            <w:tcW w:w="1801" w:type="dxa"/>
          </w:tcPr>
          <w:p w14:paraId="1E1082D4" w14:textId="18C5E2D5"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基本生活自理能力相对较弱，或子女不在身边的老人</w:t>
            </w:r>
          </w:p>
        </w:tc>
        <w:tc>
          <w:tcPr>
            <w:tcW w:w="2913" w:type="dxa"/>
          </w:tcPr>
          <w:p w14:paraId="7A77B9D5" w14:textId="6C2BA096"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依托社区公共资源和服务设施，老人对所处环境更熟悉，更具亲切感</w:t>
            </w:r>
          </w:p>
        </w:tc>
      </w:tr>
      <w:tr w:rsidR="00F068A8" w:rsidRPr="002A2DB5" w14:paraId="23F165B0" w14:textId="77777777" w:rsidTr="00F068A8">
        <w:tc>
          <w:tcPr>
            <w:tcW w:w="1266" w:type="dxa"/>
          </w:tcPr>
          <w:p w14:paraId="358D4117" w14:textId="3D7FE5FA"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机构养老</w:t>
            </w:r>
          </w:p>
        </w:tc>
        <w:tc>
          <w:tcPr>
            <w:tcW w:w="2310" w:type="dxa"/>
          </w:tcPr>
          <w:p w14:paraId="0706DBF0" w14:textId="79FBED0E"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专业化养老机构，如养老院、康养中心、托老所、老年公寓等</w:t>
            </w:r>
          </w:p>
        </w:tc>
        <w:tc>
          <w:tcPr>
            <w:tcW w:w="1801" w:type="dxa"/>
          </w:tcPr>
          <w:p w14:paraId="2D302BBA" w14:textId="37013B67"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失能或失智程度较高的老人，80岁以上的高龄老人</w:t>
            </w:r>
          </w:p>
        </w:tc>
        <w:tc>
          <w:tcPr>
            <w:tcW w:w="2913" w:type="dxa"/>
          </w:tcPr>
          <w:p w14:paraId="2C0A587C" w14:textId="1DA1B410"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sz w:val="28"/>
                <w:szCs w:val="28"/>
              </w:rPr>
              <w:t>将老年人集中起来，提供居住、就餐、医疗、娱乐等全方位服务；成本较高，老人需更改住所，服务内容较为全面、丰富</w:t>
            </w:r>
          </w:p>
        </w:tc>
      </w:tr>
    </w:tbl>
    <w:p w14:paraId="446EC897" w14:textId="77777777" w:rsidR="00F068A8" w:rsidRPr="002A2DB5" w:rsidRDefault="00F068A8" w:rsidP="002A2DB5">
      <w:pPr>
        <w:spacing w:line="360" w:lineRule="auto"/>
        <w:rPr>
          <w:rFonts w:ascii="FangSong" w:eastAsia="FangSong" w:hAnsi="FangSong"/>
          <w:sz w:val="28"/>
          <w:szCs w:val="28"/>
        </w:rPr>
      </w:pPr>
    </w:p>
    <w:p w14:paraId="7CEC32F2" w14:textId="5ACD4F45" w:rsidR="00F068A8" w:rsidRPr="002A2DB5" w:rsidRDefault="00F068A8"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中国家庭平均人口数量：</w:t>
      </w:r>
    </w:p>
    <w:p w14:paraId="2BAFC27D" w14:textId="5B22272A"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48456FB7" wp14:editId="068289A9">
            <wp:extent cx="4940300" cy="3073400"/>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屏幕快照 2019-10-29 下午3.57.42.png"/>
                    <pic:cNvPicPr/>
                  </pic:nvPicPr>
                  <pic:blipFill>
                    <a:blip r:embed="rId14">
                      <a:extLst>
                        <a:ext uri="{28A0092B-C50C-407E-A947-70E740481C1C}">
                          <a14:useLocalDpi xmlns:a14="http://schemas.microsoft.com/office/drawing/2010/main" val="0"/>
                        </a:ext>
                      </a:extLst>
                    </a:blip>
                    <a:stretch>
                      <a:fillRect/>
                    </a:stretch>
                  </pic:blipFill>
                  <pic:spPr>
                    <a:xfrm>
                      <a:off x="0" y="0"/>
                      <a:ext cx="4940300" cy="3073400"/>
                    </a:xfrm>
                    <a:prstGeom prst="rect">
                      <a:avLst/>
                    </a:prstGeom>
                  </pic:spPr>
                </pic:pic>
              </a:graphicData>
            </a:graphic>
          </wp:inline>
        </w:drawing>
      </w:r>
    </w:p>
    <w:p w14:paraId="693CC137" w14:textId="457EC747" w:rsidR="00F068A8" w:rsidRPr="002A2DB5" w:rsidRDefault="00F068A8"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中国各类型家庭占比：</w:t>
      </w:r>
    </w:p>
    <w:p w14:paraId="58E7C7D3" w14:textId="72EE4825" w:rsidR="00F068A8" w:rsidRPr="002A2DB5" w:rsidRDefault="00F068A8"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3A52A987" wp14:editId="25E45A74">
            <wp:extent cx="5067300" cy="3670300"/>
            <wp:effectExtent l="0" t="0" r="1270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屏幕快照 2019-10-29 下午3.57.55.png"/>
                    <pic:cNvPicPr/>
                  </pic:nvPicPr>
                  <pic:blipFill>
                    <a:blip r:embed="rId15">
                      <a:extLst>
                        <a:ext uri="{28A0092B-C50C-407E-A947-70E740481C1C}">
                          <a14:useLocalDpi xmlns:a14="http://schemas.microsoft.com/office/drawing/2010/main" val="0"/>
                        </a:ext>
                      </a:extLst>
                    </a:blip>
                    <a:stretch>
                      <a:fillRect/>
                    </a:stretch>
                  </pic:blipFill>
                  <pic:spPr>
                    <a:xfrm>
                      <a:off x="0" y="0"/>
                      <a:ext cx="5067300" cy="3670300"/>
                    </a:xfrm>
                    <a:prstGeom prst="rect">
                      <a:avLst/>
                    </a:prstGeom>
                  </pic:spPr>
                </pic:pic>
              </a:graphicData>
            </a:graphic>
          </wp:inline>
        </w:drawing>
      </w:r>
    </w:p>
    <w:p w14:paraId="05E86806" w14:textId="7826E72B" w:rsidR="00E75F84"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sz w:val="28"/>
          <w:szCs w:val="28"/>
        </w:rPr>
        <w:t>2、“重销售轻服务”较为普遍</w:t>
      </w:r>
    </w:p>
    <w:p w14:paraId="3AEDE9DA" w14:textId="599B348E" w:rsidR="00546ACD" w:rsidRPr="002A2DB5" w:rsidRDefault="00EF0845"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t>自持经营类项目空置率普遍较高，目前主要城市群空置率位于37%-47%之间。养老产业属于快速消费型企业，需要有较长的培育期，一般养老院入住率要达到75%-85%才能实现盈亏平衡。</w:t>
      </w:r>
    </w:p>
    <w:p w14:paraId="68C10A0C" w14:textId="3A394387" w:rsidR="00EF0845" w:rsidRPr="002A2DB5" w:rsidRDefault="00EF0845"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lastRenderedPageBreak/>
        <w:t>我国养老地产主要分布在：京津冀、长三角、珠三角、川渝等四大经济圈。</w:t>
      </w:r>
    </w:p>
    <w:p w14:paraId="41E055A1" w14:textId="68BB6DA1" w:rsidR="00EF0845" w:rsidRPr="002A2DB5" w:rsidRDefault="00EF0845"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t>整体优质销售类养老地产项目去化率普遍较高，平均在80%以上。由于川渝区域、珠三角区域以高端旅游养老地产居多，因而去化率较高。平均售价方面，销售类养老地产多处于城市周边郊区非中心区域，所以售价相对较低；而其中京津冀区域明显高于其他区域，其次是长三角、珠三角和川渝区域相对较低。</w:t>
      </w:r>
    </w:p>
    <w:p w14:paraId="077F5509" w14:textId="72E2DC55" w:rsidR="00546ACD" w:rsidRPr="002A2DB5" w:rsidRDefault="00EF0845"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042B9CCC" wp14:editId="02632389">
            <wp:extent cx="5270500" cy="2495550"/>
            <wp:effectExtent l="0" t="0" r="127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屏幕快照 2019-10-29 下午9.12.50.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2495550"/>
                    </a:xfrm>
                    <a:prstGeom prst="rect">
                      <a:avLst/>
                    </a:prstGeom>
                  </pic:spPr>
                </pic:pic>
              </a:graphicData>
            </a:graphic>
          </wp:inline>
        </w:drawing>
      </w:r>
    </w:p>
    <w:p w14:paraId="3056E429" w14:textId="427A4045" w:rsidR="00EF0845" w:rsidRPr="002A2DB5" w:rsidRDefault="00EF0845"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67006909" wp14:editId="7E257E5B">
            <wp:extent cx="5270500" cy="2513330"/>
            <wp:effectExtent l="0" t="0" r="1270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屏幕快照 2019-10-29 下午9.12.58.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2513330"/>
                    </a:xfrm>
                    <a:prstGeom prst="rect">
                      <a:avLst/>
                    </a:prstGeom>
                  </pic:spPr>
                </pic:pic>
              </a:graphicData>
            </a:graphic>
          </wp:inline>
        </w:drawing>
      </w:r>
    </w:p>
    <w:p w14:paraId="5E0DE492" w14:textId="3A635D0D" w:rsidR="00A1290C" w:rsidRPr="002A2DB5" w:rsidRDefault="00A1290C" w:rsidP="002A2DB5">
      <w:pPr>
        <w:spacing w:line="360" w:lineRule="auto"/>
        <w:rPr>
          <w:rFonts w:ascii="FangSong" w:eastAsia="FangSong" w:hAnsi="FangSong"/>
          <w:sz w:val="28"/>
          <w:szCs w:val="28"/>
        </w:rPr>
      </w:pPr>
      <w:r w:rsidRPr="002A2DB5">
        <w:rPr>
          <w:rFonts w:ascii="FangSong" w:eastAsia="FangSong" w:hAnsi="FangSong" w:hint="eastAsia"/>
          <w:sz w:val="28"/>
          <w:szCs w:val="28"/>
        </w:rPr>
        <w:lastRenderedPageBreak/>
        <w:t xml:space="preserve">   我国城市养老机构床位数与建筑面积稳健增长，2017年床位数达144万张，建筑面积3500万㎡，单客平均实现收入约为13000元/人/年。目前，服务较高的民营养老机构收费较高，普通家庭难以承受。其中分收费水平看：</w:t>
      </w:r>
    </w:p>
    <w:p w14:paraId="2E8255A3" w14:textId="42EEDE2D" w:rsidR="00307F52" w:rsidRPr="002A2DB5" w:rsidRDefault="00307F52" w:rsidP="00122C2C">
      <w:pPr>
        <w:pStyle w:val="a3"/>
        <w:numPr>
          <w:ilvl w:val="0"/>
          <w:numId w:val="10"/>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月均收费500-1000元之间养老机构22555家，其中19682家为国营机构，占比88.43%；</w:t>
      </w:r>
    </w:p>
    <w:p w14:paraId="10F57DBD" w14:textId="2DCB2BC9" w:rsidR="00A1290C" w:rsidRPr="002A2DB5" w:rsidRDefault="00A1290C" w:rsidP="00122C2C">
      <w:pPr>
        <w:pStyle w:val="a3"/>
        <w:numPr>
          <w:ilvl w:val="0"/>
          <w:numId w:val="10"/>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月均收费1001-2000元/月的养老机构，全国仅有3059家；</w:t>
      </w:r>
    </w:p>
    <w:p w14:paraId="4B235ED5" w14:textId="77777777" w:rsidR="00932280" w:rsidRDefault="00A1290C" w:rsidP="00122C2C">
      <w:pPr>
        <w:pStyle w:val="a3"/>
        <w:numPr>
          <w:ilvl w:val="0"/>
          <w:numId w:val="10"/>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月均收费</w:t>
      </w:r>
      <w:r w:rsidR="00307F52" w:rsidRPr="002A2DB5">
        <w:rPr>
          <w:rFonts w:ascii="FangSong" w:eastAsia="FangSong" w:hAnsi="FangSong" w:hint="eastAsia"/>
          <w:sz w:val="28"/>
          <w:szCs w:val="28"/>
        </w:rPr>
        <w:t>2001-2500元/月的养老机构，全国仅有1758家，其</w:t>
      </w:r>
    </w:p>
    <w:p w14:paraId="0ABA70FF" w14:textId="26F9E2FA" w:rsidR="00A1290C" w:rsidRPr="00932280" w:rsidRDefault="00307F52" w:rsidP="00932280">
      <w:pPr>
        <w:spacing w:line="360" w:lineRule="auto"/>
        <w:rPr>
          <w:rFonts w:ascii="FangSong" w:eastAsia="FangSong" w:hAnsi="FangSong"/>
          <w:sz w:val="28"/>
          <w:szCs w:val="28"/>
        </w:rPr>
      </w:pPr>
      <w:r w:rsidRPr="00932280">
        <w:rPr>
          <w:rFonts w:ascii="FangSong" w:eastAsia="FangSong" w:hAnsi="FangSong" w:hint="eastAsia"/>
          <w:sz w:val="28"/>
          <w:szCs w:val="28"/>
        </w:rPr>
        <w:t>中民营机构占比73.72%，为1296家。</w:t>
      </w:r>
    </w:p>
    <w:p w14:paraId="5DA69431" w14:textId="6D90DD59" w:rsidR="00307F52" w:rsidRPr="002A2DB5" w:rsidRDefault="00932280" w:rsidP="002A2DB5">
      <w:pPr>
        <w:spacing w:line="360" w:lineRule="auto"/>
        <w:rPr>
          <w:rFonts w:ascii="FangSong" w:eastAsia="FangSong" w:hAnsi="FangSong"/>
          <w:sz w:val="28"/>
          <w:szCs w:val="28"/>
        </w:rPr>
      </w:pPr>
      <w:r>
        <w:rPr>
          <w:rFonts w:ascii="FangSong" w:eastAsia="FangSong" w:hAnsi="FangSong" w:hint="eastAsia"/>
          <w:sz w:val="28"/>
          <w:szCs w:val="28"/>
        </w:rPr>
        <w:t xml:space="preserve">    </w:t>
      </w:r>
      <w:r w:rsidR="00307F52" w:rsidRPr="00932280">
        <w:rPr>
          <w:rFonts w:ascii="FangSong" w:eastAsia="FangSong" w:hAnsi="FangSong" w:hint="eastAsia"/>
          <w:sz w:val="28"/>
          <w:szCs w:val="28"/>
        </w:rPr>
        <w:t>总体上看，国营机构主要保障老年人口的基本养老需求，相对来说机构数量较多。而其他收费阶梯中，民营机构都占据了一定的主导地位，不过数量还是相对有限，而且供应较少。城市老人及其子女的收入水平直接影响着老人养老的方式，由于养老机构</w:t>
      </w:r>
      <w:r w:rsidR="00307F52" w:rsidRPr="002A2DB5">
        <w:rPr>
          <w:rFonts w:ascii="FangSong" w:eastAsia="FangSong" w:hAnsi="FangSong" w:hint="eastAsia"/>
          <w:sz w:val="28"/>
          <w:szCs w:val="28"/>
        </w:rPr>
        <w:t>服务收费标准大多高于大多数老年人的收入水平，导致多数老年人无法享受优质的养老服务。</w:t>
      </w:r>
    </w:p>
    <w:p w14:paraId="31F8E21C" w14:textId="4F31AF6F" w:rsidR="005772F7" w:rsidRPr="002A2DB5" w:rsidRDefault="005772F7"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城市养老机构单客实现收入情况</w:t>
      </w:r>
    </w:p>
    <w:p w14:paraId="58C8039A" w14:textId="6AAFAD48" w:rsidR="005772F7" w:rsidRPr="002A2DB5" w:rsidRDefault="005772F7" w:rsidP="002A2DB5">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709791E6" wp14:editId="51593865">
            <wp:extent cx="3748100" cy="3121616"/>
            <wp:effectExtent l="0" t="0" r="1143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屏幕快照 2019-10-29 下午9.21.57.png"/>
                    <pic:cNvPicPr/>
                  </pic:nvPicPr>
                  <pic:blipFill>
                    <a:blip r:embed="rId18">
                      <a:extLst>
                        <a:ext uri="{28A0092B-C50C-407E-A947-70E740481C1C}">
                          <a14:useLocalDpi xmlns:a14="http://schemas.microsoft.com/office/drawing/2010/main" val="0"/>
                        </a:ext>
                      </a:extLst>
                    </a:blip>
                    <a:stretch>
                      <a:fillRect/>
                    </a:stretch>
                  </pic:blipFill>
                  <pic:spPr>
                    <a:xfrm>
                      <a:off x="0" y="0"/>
                      <a:ext cx="3751357" cy="3124329"/>
                    </a:xfrm>
                    <a:prstGeom prst="rect">
                      <a:avLst/>
                    </a:prstGeom>
                  </pic:spPr>
                </pic:pic>
              </a:graphicData>
            </a:graphic>
          </wp:inline>
        </w:drawing>
      </w:r>
    </w:p>
    <w:p w14:paraId="40240220" w14:textId="0E8D4BB4" w:rsidR="005772F7" w:rsidRPr="002A2DB5" w:rsidRDefault="005772F7"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不同类型养老机构床位收费情况对比</w:t>
      </w:r>
    </w:p>
    <w:p w14:paraId="2E3D2CB8" w14:textId="450E4B7D" w:rsidR="005772F7" w:rsidRPr="002A2DB5" w:rsidRDefault="005772F7" w:rsidP="002A2DB5">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5072C2DD" wp14:editId="042EB675">
            <wp:extent cx="4005027" cy="3347141"/>
            <wp:effectExtent l="0" t="0" r="825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屏幕快照 2019-10-29 下午9.22.04.png"/>
                    <pic:cNvPicPr/>
                  </pic:nvPicPr>
                  <pic:blipFill>
                    <a:blip r:embed="rId19">
                      <a:extLst>
                        <a:ext uri="{28A0092B-C50C-407E-A947-70E740481C1C}">
                          <a14:useLocalDpi xmlns:a14="http://schemas.microsoft.com/office/drawing/2010/main" val="0"/>
                        </a:ext>
                      </a:extLst>
                    </a:blip>
                    <a:stretch>
                      <a:fillRect/>
                    </a:stretch>
                  </pic:blipFill>
                  <pic:spPr>
                    <a:xfrm>
                      <a:off x="0" y="0"/>
                      <a:ext cx="4007960" cy="3349592"/>
                    </a:xfrm>
                    <a:prstGeom prst="rect">
                      <a:avLst/>
                    </a:prstGeom>
                  </pic:spPr>
                </pic:pic>
              </a:graphicData>
            </a:graphic>
          </wp:inline>
        </w:drawing>
      </w:r>
    </w:p>
    <w:p w14:paraId="5D9DE293" w14:textId="40D94520" w:rsidR="005772F7" w:rsidRPr="002A2DB5" w:rsidRDefault="005772F7"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城市养老机构床位数与建筑面积增长情况</w:t>
      </w:r>
    </w:p>
    <w:p w14:paraId="27B62958" w14:textId="0DEF9EAA" w:rsidR="005772F7" w:rsidRPr="002A2DB5" w:rsidRDefault="005772F7" w:rsidP="002A2DB5">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3CA6A07F" wp14:editId="0038390A">
            <wp:extent cx="4003556" cy="2875794"/>
            <wp:effectExtent l="0" t="0" r="1016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屏幕快照 2019-10-29 下午9.22.13.png"/>
                    <pic:cNvPicPr/>
                  </pic:nvPicPr>
                  <pic:blipFill>
                    <a:blip r:embed="rId20">
                      <a:extLst>
                        <a:ext uri="{28A0092B-C50C-407E-A947-70E740481C1C}">
                          <a14:useLocalDpi xmlns:a14="http://schemas.microsoft.com/office/drawing/2010/main" val="0"/>
                        </a:ext>
                      </a:extLst>
                    </a:blip>
                    <a:stretch>
                      <a:fillRect/>
                    </a:stretch>
                  </pic:blipFill>
                  <pic:spPr>
                    <a:xfrm>
                      <a:off x="0" y="0"/>
                      <a:ext cx="4009972" cy="2880403"/>
                    </a:xfrm>
                    <a:prstGeom prst="rect">
                      <a:avLst/>
                    </a:prstGeom>
                  </pic:spPr>
                </pic:pic>
              </a:graphicData>
            </a:graphic>
          </wp:inline>
        </w:drawing>
      </w:r>
    </w:p>
    <w:p w14:paraId="6A3DA621" w14:textId="6A123D56" w:rsidR="005772F7" w:rsidRPr="002A2DB5" w:rsidRDefault="005772F7"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不同收费水平的养老机构数量对比</w:t>
      </w:r>
    </w:p>
    <w:p w14:paraId="64448EFE" w14:textId="573D0471" w:rsidR="005772F7" w:rsidRPr="002A2DB5" w:rsidRDefault="005772F7" w:rsidP="002A2DB5">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5AE054B7" wp14:editId="2C4A2826">
            <wp:extent cx="3692591" cy="3116291"/>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屏幕快照 2019-10-29 下午9.22.29.png"/>
                    <pic:cNvPicPr/>
                  </pic:nvPicPr>
                  <pic:blipFill>
                    <a:blip r:embed="rId21">
                      <a:extLst>
                        <a:ext uri="{28A0092B-C50C-407E-A947-70E740481C1C}">
                          <a14:useLocalDpi xmlns:a14="http://schemas.microsoft.com/office/drawing/2010/main" val="0"/>
                        </a:ext>
                      </a:extLst>
                    </a:blip>
                    <a:stretch>
                      <a:fillRect/>
                    </a:stretch>
                  </pic:blipFill>
                  <pic:spPr>
                    <a:xfrm>
                      <a:off x="0" y="0"/>
                      <a:ext cx="3696214" cy="3119348"/>
                    </a:xfrm>
                    <a:prstGeom prst="rect">
                      <a:avLst/>
                    </a:prstGeom>
                  </pic:spPr>
                </pic:pic>
              </a:graphicData>
            </a:graphic>
          </wp:inline>
        </w:drawing>
      </w:r>
    </w:p>
    <w:p w14:paraId="7205C344" w14:textId="299FC737" w:rsidR="00E75F84" w:rsidRPr="002A2DB5" w:rsidRDefault="00E75F84" w:rsidP="002A2DB5">
      <w:pPr>
        <w:spacing w:line="360" w:lineRule="auto"/>
        <w:rPr>
          <w:rFonts w:ascii="FangSong" w:eastAsia="FangSong" w:hAnsi="FangSong"/>
          <w:sz w:val="28"/>
          <w:szCs w:val="28"/>
        </w:rPr>
      </w:pPr>
      <w:r w:rsidRPr="002A2DB5">
        <w:rPr>
          <w:rFonts w:ascii="FangSong" w:eastAsia="FangSong" w:hAnsi="FangSong" w:hint="eastAsia"/>
          <w:sz w:val="28"/>
          <w:szCs w:val="28"/>
        </w:rPr>
        <w:t>3、供地持续增长，其中医疗慈善用地总供应占比75%（2008-2017）</w:t>
      </w:r>
    </w:p>
    <w:p w14:paraId="743AF0F1" w14:textId="3B20CC3D" w:rsidR="009D59CD" w:rsidRPr="002A2DB5" w:rsidRDefault="007C0BBD"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366930" w:rsidRPr="002A2DB5">
        <w:rPr>
          <w:rFonts w:ascii="FangSong" w:eastAsia="FangSong" w:hAnsi="FangSong" w:hint="eastAsia"/>
          <w:sz w:val="28"/>
          <w:szCs w:val="28"/>
        </w:rPr>
        <w:t>2008-2015年，养老服务业用地供应量持续增长，累计供应面积5657公顷，由200年的270公顷增长到2015年的1099公顷，年均</w:t>
      </w:r>
      <w:r w:rsidR="00366930" w:rsidRPr="002A2DB5">
        <w:rPr>
          <w:rFonts w:ascii="FangSong" w:eastAsia="FangSong" w:hAnsi="FangSong" w:hint="eastAsia"/>
          <w:sz w:val="28"/>
          <w:szCs w:val="28"/>
        </w:rPr>
        <w:lastRenderedPageBreak/>
        <w:t>供应面积增速达到23%；其中养老服务业用地中的医卫慈善用途土地供应量随整体增长而实现较大幅度增长。</w:t>
      </w:r>
    </w:p>
    <w:p w14:paraId="5208EAB4" w14:textId="445AE43C" w:rsidR="00366930" w:rsidRPr="002A2DB5" w:rsidRDefault="00366930"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从实际操作情况看，养老服务业项目用地中，57%的供应面积为公共管理与公用服务用地中的医卫慈善用地，但仍有较大比例为其他土地用途。其中包括：公共管理与公共服务用地中的其他二级地类，如机关团体用地、公共设施</w:t>
      </w:r>
      <w:r w:rsidR="00CB4300" w:rsidRPr="002A2DB5">
        <w:rPr>
          <w:rFonts w:ascii="FangSong" w:eastAsia="FangSong" w:hAnsi="FangSong" w:hint="eastAsia"/>
          <w:sz w:val="28"/>
          <w:szCs w:val="28"/>
        </w:rPr>
        <w:t>用地</w:t>
      </w:r>
      <w:r w:rsidR="00E33733" w:rsidRPr="002A2DB5">
        <w:rPr>
          <w:rFonts w:ascii="FangSong" w:eastAsia="FangSong" w:hAnsi="FangSong" w:hint="eastAsia"/>
          <w:sz w:val="28"/>
          <w:szCs w:val="28"/>
        </w:rPr>
        <w:t>、文化娱乐用地等，此外还包括可住宅用地中的其他普通商品房、经济适用房、廉租房等，商服用地中的住宿餐饮用地、其他商业服务用地等，甚至还有部分工矿仓储用地。</w:t>
      </w:r>
    </w:p>
    <w:p w14:paraId="6DF2B36D" w14:textId="7D738DB5" w:rsidR="00E33733" w:rsidRPr="002A2DB5" w:rsidRDefault="00E33733" w:rsidP="002A2DB5">
      <w:pPr>
        <w:spacing w:line="360" w:lineRule="auto"/>
        <w:ind w:firstLine="480"/>
        <w:rPr>
          <w:rFonts w:ascii="FangSong" w:eastAsia="FangSong" w:hAnsi="FangSong"/>
          <w:sz w:val="28"/>
          <w:szCs w:val="28"/>
        </w:rPr>
      </w:pPr>
      <w:r w:rsidRPr="002A2DB5">
        <w:rPr>
          <w:rFonts w:ascii="FangSong" w:eastAsia="FangSong" w:hAnsi="FangSong" w:hint="eastAsia"/>
          <w:sz w:val="28"/>
          <w:szCs w:val="28"/>
        </w:rPr>
        <w:t>养老服务业用地供应方式中，主要是划拨、出让方式，极少采用租赁或其他供地方式。其中，划拨供应占68%，出让占32%。在出让方式之中，协议出让占26%，招拍挂出让占74%。近年来，划拨比例呈现下降趋势，出让比例有所增加。2014年划拨供应占62.7%，较2008年下降10.8pcts；出让占37.3%，较2018年提高10.8pcts。</w:t>
      </w:r>
    </w:p>
    <w:p w14:paraId="218BB897" w14:textId="4527075B" w:rsidR="00E33733" w:rsidRPr="002A2DB5" w:rsidRDefault="00545E48" w:rsidP="002A2DB5">
      <w:pPr>
        <w:spacing w:line="360" w:lineRule="auto"/>
        <w:ind w:firstLine="480"/>
        <w:rPr>
          <w:rFonts w:ascii="FangSong" w:eastAsia="FangSong" w:hAnsi="FangSong"/>
          <w:sz w:val="28"/>
          <w:szCs w:val="28"/>
        </w:rPr>
      </w:pPr>
      <w:r>
        <w:rPr>
          <w:rFonts w:ascii="FangSong" w:eastAsia="FangSong" w:hAnsi="FangSong" w:hint="eastAsia"/>
          <w:sz w:val="28"/>
          <w:szCs w:val="28"/>
        </w:rPr>
        <w:t xml:space="preserve"> </w:t>
      </w:r>
      <w:r w:rsidR="00E33733" w:rsidRPr="002A2DB5">
        <w:rPr>
          <w:rFonts w:ascii="FangSong" w:eastAsia="FangSong" w:hAnsi="FangSong" w:hint="eastAsia"/>
          <w:sz w:val="28"/>
          <w:szCs w:val="28"/>
        </w:rPr>
        <w:t>从土地获取方式来看，</w:t>
      </w:r>
      <w:r w:rsidR="00855AF3" w:rsidRPr="002A2DB5">
        <w:rPr>
          <w:rFonts w:ascii="FangSong" w:eastAsia="FangSong" w:hAnsi="FangSong" w:hint="eastAsia"/>
          <w:sz w:val="28"/>
          <w:szCs w:val="28"/>
        </w:rPr>
        <w:t>采用划拨供地方式的养老服务业用地受让人主要是县、乡人民政府、民政局、街道办事处、村委会等政府及基层管理机构；也有老年护理院、老年服务中心等事业单位；采用出让方式供应的受让人则大多以公司居多，如养老服务公司、老年康复有限公司、旅游置业有限公司、医药实业有限公司等。</w:t>
      </w:r>
    </w:p>
    <w:p w14:paraId="017E8950" w14:textId="2AE160FA" w:rsidR="00947E78" w:rsidRPr="002A2DB5" w:rsidRDefault="00947E78" w:rsidP="002A2DB5">
      <w:pPr>
        <w:pStyle w:val="2"/>
        <w:spacing w:line="360" w:lineRule="auto"/>
        <w:rPr>
          <w:rFonts w:ascii="FangSong" w:eastAsia="FangSong" w:hAnsi="FangSong"/>
        </w:rPr>
      </w:pPr>
      <w:bookmarkStart w:id="8" w:name="_Toc24893512"/>
      <w:r w:rsidRPr="002A2DB5">
        <w:rPr>
          <w:rFonts w:ascii="FangSong" w:eastAsia="FangSong" w:hAnsi="FangSong" w:hint="eastAsia"/>
        </w:rPr>
        <w:lastRenderedPageBreak/>
        <w:t>3.3发展趋势</w:t>
      </w:r>
      <w:bookmarkEnd w:id="8"/>
    </w:p>
    <w:p w14:paraId="28C31222" w14:textId="0552061A" w:rsidR="00655D6B" w:rsidRPr="002A2DB5" w:rsidRDefault="00655D6B" w:rsidP="002A2DB5">
      <w:pPr>
        <w:spacing w:line="360" w:lineRule="auto"/>
        <w:rPr>
          <w:rFonts w:ascii="FangSong" w:eastAsia="FangSong" w:hAnsi="FangSong"/>
          <w:sz w:val="28"/>
          <w:szCs w:val="28"/>
        </w:rPr>
      </w:pPr>
      <w:r w:rsidRPr="002A2DB5">
        <w:rPr>
          <w:rFonts w:ascii="FangSong" w:eastAsia="FangSong" w:hAnsi="FangSong" w:hint="eastAsia"/>
        </w:rPr>
        <w:t xml:space="preserve">  </w:t>
      </w:r>
      <w:r w:rsidR="00545E48">
        <w:rPr>
          <w:rFonts w:ascii="FangSong" w:eastAsia="FangSong" w:hAnsi="FangSong" w:hint="eastAsia"/>
        </w:rPr>
        <w:t xml:space="preserve"> </w:t>
      </w:r>
      <w:r w:rsidRPr="002A2DB5">
        <w:rPr>
          <w:rFonts w:ascii="FangSong" w:eastAsia="FangSong" w:hAnsi="FangSong" w:hint="eastAsia"/>
          <w:sz w:val="28"/>
          <w:szCs w:val="28"/>
        </w:rPr>
        <w:t xml:space="preserve"> </w:t>
      </w:r>
      <w:r w:rsidR="00D44FD3" w:rsidRPr="002A2DB5">
        <w:rPr>
          <w:rFonts w:ascii="FangSong" w:eastAsia="FangSong" w:hAnsi="FangSong" w:hint="eastAsia"/>
          <w:sz w:val="28"/>
          <w:szCs w:val="28"/>
        </w:rPr>
        <w:t>从供给方面看，截至2017年，我国拥有养老服务床位数745万丈张，每千名老年人拥有养老床位30.9万张，相比于国际标准（每千名老年人拥有床位50张）仍有较大差距。展望未来，由于老龄化趋势日益严峻，“421”家庭养老压力将逐步凸显，在老年人经济实力增强与扶持政策等利好因素的支撑下，</w:t>
      </w:r>
      <w:r w:rsidR="00D84F2E" w:rsidRPr="002A2DB5">
        <w:rPr>
          <w:rFonts w:ascii="FangSong" w:eastAsia="FangSong" w:hAnsi="FangSong" w:hint="eastAsia"/>
          <w:sz w:val="28"/>
          <w:szCs w:val="28"/>
        </w:rPr>
        <w:t>未来仰赖地产行业发展将是大势所趋。</w:t>
      </w:r>
    </w:p>
    <w:p w14:paraId="4DFE4E48" w14:textId="36C0D755" w:rsidR="00D84F2E" w:rsidRPr="002A2DB5" w:rsidRDefault="00545E48" w:rsidP="002A2DB5">
      <w:pPr>
        <w:spacing w:line="360" w:lineRule="auto"/>
        <w:ind w:firstLine="480"/>
        <w:rPr>
          <w:rFonts w:ascii="FangSong" w:eastAsia="FangSong" w:hAnsi="FangSong"/>
          <w:sz w:val="28"/>
          <w:szCs w:val="28"/>
        </w:rPr>
      </w:pPr>
      <w:r>
        <w:rPr>
          <w:rFonts w:ascii="FangSong" w:eastAsia="FangSong" w:hAnsi="FangSong" w:hint="eastAsia"/>
          <w:sz w:val="28"/>
          <w:szCs w:val="28"/>
        </w:rPr>
        <w:t xml:space="preserve"> </w:t>
      </w:r>
      <w:r w:rsidR="00D84F2E" w:rsidRPr="002A2DB5">
        <w:rPr>
          <w:rFonts w:ascii="FangSong" w:eastAsia="FangSong" w:hAnsi="FangSong" w:hint="eastAsia"/>
          <w:sz w:val="28"/>
          <w:szCs w:val="28"/>
        </w:rPr>
        <w:t>从行业前景看，养老地产作为产业消费群体的居住区以及服务的发生场所，具备天然的平台属性。未来养老地产开发商除了聚焦于老年人的生活场景，还可以积极向衣食住行、休闲、护理、娱乐等各个消费场景延伸，布局以养老地产为载体的全面消费产业链。</w:t>
      </w:r>
    </w:p>
    <w:p w14:paraId="571AD05B" w14:textId="1F11A116" w:rsidR="0013463A" w:rsidRPr="002A2DB5" w:rsidRDefault="00545E48" w:rsidP="002A2DB5">
      <w:pPr>
        <w:spacing w:line="360" w:lineRule="auto"/>
        <w:ind w:firstLine="480"/>
        <w:rPr>
          <w:rFonts w:ascii="FangSong" w:eastAsia="FangSong" w:hAnsi="FangSong"/>
          <w:sz w:val="28"/>
          <w:szCs w:val="28"/>
        </w:rPr>
      </w:pPr>
      <w:r>
        <w:rPr>
          <w:rFonts w:ascii="FangSong" w:eastAsia="FangSong" w:hAnsi="FangSong" w:hint="eastAsia"/>
          <w:sz w:val="28"/>
          <w:szCs w:val="28"/>
        </w:rPr>
        <w:t xml:space="preserve"> </w:t>
      </w:r>
      <w:r w:rsidR="0013463A" w:rsidRPr="002A2DB5">
        <w:rPr>
          <w:rFonts w:ascii="FangSong" w:eastAsia="FangSong" w:hAnsi="FangSong" w:hint="eastAsia"/>
          <w:sz w:val="28"/>
          <w:szCs w:val="28"/>
        </w:rPr>
        <w:t>养老地产行业启动在即，医养结合大势所趋。未来，合作渠道将更加多样化：地产商与医疗、健康资源的合作渠道从单一的招商引进发展成为双向合作共建、收购、参股、并购等，充分整合各方资源，在注重医健品牌质量的同时也更加关注合作资源的落地需求。细分市场将更加专业：市场持续细分将成为未来养老地产开发的重要基础之一，对于细分专业市场中优质品牌资源的竞争更加激烈，未来养老地产开发在拓展宽度的基础上还需要更加关注细分医疗健康资源的筛选及垂直市场需求的挖掘。运营模式更复合：由于养老地产项目建设周期相对较长，单纯的重资产模式给建设方带来</w:t>
      </w:r>
      <w:r w:rsidR="0013463A" w:rsidRPr="002A2DB5">
        <w:rPr>
          <w:rFonts w:ascii="FangSong" w:eastAsia="FangSong" w:hAnsi="FangSong" w:hint="eastAsia"/>
          <w:sz w:val="28"/>
          <w:szCs w:val="28"/>
        </w:rPr>
        <w:lastRenderedPageBreak/>
        <w:t>一定的财务压力。未来养老地产项目或将提升服务环节的轻资产运营关注度，快速实现品牌及运营模式输出，拓宽盈利渠道。</w:t>
      </w:r>
    </w:p>
    <w:p w14:paraId="1249916F" w14:textId="6088B188" w:rsidR="0013463A" w:rsidRPr="002A2DB5" w:rsidRDefault="0013463A"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养老地产现有开发模式：</w:t>
      </w:r>
    </w:p>
    <w:p w14:paraId="5DECCD31" w14:textId="78EA94BC" w:rsidR="0013463A" w:rsidRPr="002A2DB5" w:rsidRDefault="00246B3C" w:rsidP="002A2DB5">
      <w:pPr>
        <w:spacing w:line="360" w:lineRule="auto"/>
        <w:rPr>
          <w:rFonts w:ascii="FangSong" w:eastAsia="FangSong" w:hAnsi="FangSong"/>
        </w:rPr>
      </w:pPr>
      <w:r w:rsidRPr="002A2DB5">
        <w:rPr>
          <w:rFonts w:ascii="FangSong" w:eastAsia="FangSong" w:hAnsi="FangSong" w:hint="eastAsia"/>
          <w:noProof/>
        </w:rPr>
        <w:drawing>
          <wp:inline distT="0" distB="0" distL="0" distR="0" wp14:anchorId="4D3FEC53" wp14:editId="16A5A20F">
            <wp:extent cx="5003800" cy="3009900"/>
            <wp:effectExtent l="0" t="0" r="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屏幕快照 2019-10-29 下午9.39.06.png"/>
                    <pic:cNvPicPr/>
                  </pic:nvPicPr>
                  <pic:blipFill>
                    <a:blip r:embed="rId22">
                      <a:extLst>
                        <a:ext uri="{28A0092B-C50C-407E-A947-70E740481C1C}">
                          <a14:useLocalDpi xmlns:a14="http://schemas.microsoft.com/office/drawing/2010/main" val="0"/>
                        </a:ext>
                      </a:extLst>
                    </a:blip>
                    <a:stretch>
                      <a:fillRect/>
                    </a:stretch>
                  </pic:blipFill>
                  <pic:spPr>
                    <a:xfrm>
                      <a:off x="0" y="0"/>
                      <a:ext cx="5003800" cy="3009900"/>
                    </a:xfrm>
                    <a:prstGeom prst="rect">
                      <a:avLst/>
                    </a:prstGeom>
                  </pic:spPr>
                </pic:pic>
              </a:graphicData>
            </a:graphic>
          </wp:inline>
        </w:drawing>
      </w:r>
    </w:p>
    <w:p w14:paraId="53AD9A0A" w14:textId="0170C2C6" w:rsidR="0013463A" w:rsidRPr="002A2DB5" w:rsidRDefault="0013463A" w:rsidP="00122C2C">
      <w:pPr>
        <w:pStyle w:val="a3"/>
        <w:numPr>
          <w:ilvl w:val="0"/>
          <w:numId w:val="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养老地产未来发展趋势：</w:t>
      </w:r>
    </w:p>
    <w:p w14:paraId="0FE74C3B" w14:textId="1F62E398" w:rsidR="00246B3C" w:rsidRPr="002A2DB5" w:rsidRDefault="00246B3C" w:rsidP="002A2DB5">
      <w:pPr>
        <w:spacing w:line="360" w:lineRule="auto"/>
        <w:rPr>
          <w:rFonts w:ascii="FangSong" w:eastAsia="FangSong" w:hAnsi="FangSong"/>
        </w:rPr>
      </w:pPr>
      <w:r w:rsidRPr="002A2DB5">
        <w:rPr>
          <w:rFonts w:ascii="FangSong" w:eastAsia="FangSong" w:hAnsi="FangSong" w:hint="eastAsia"/>
          <w:noProof/>
        </w:rPr>
        <w:drawing>
          <wp:inline distT="0" distB="0" distL="0" distR="0" wp14:anchorId="2FC1FF68" wp14:editId="2223338C">
            <wp:extent cx="5270500" cy="1715770"/>
            <wp:effectExtent l="0" t="0" r="1270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屏幕快照 2019-10-29 下午9.39.19.png"/>
                    <pic:cNvPicPr/>
                  </pic:nvPicPr>
                  <pic:blipFill>
                    <a:blip r:embed="rId23">
                      <a:extLst>
                        <a:ext uri="{28A0092B-C50C-407E-A947-70E740481C1C}">
                          <a14:useLocalDpi xmlns:a14="http://schemas.microsoft.com/office/drawing/2010/main" val="0"/>
                        </a:ext>
                      </a:extLst>
                    </a:blip>
                    <a:stretch>
                      <a:fillRect/>
                    </a:stretch>
                  </pic:blipFill>
                  <pic:spPr>
                    <a:xfrm>
                      <a:off x="0" y="0"/>
                      <a:ext cx="5270500" cy="1715770"/>
                    </a:xfrm>
                    <a:prstGeom prst="rect">
                      <a:avLst/>
                    </a:prstGeom>
                  </pic:spPr>
                </pic:pic>
              </a:graphicData>
            </a:graphic>
          </wp:inline>
        </w:drawing>
      </w:r>
    </w:p>
    <w:p w14:paraId="2C2E866A" w14:textId="3C05BE4D" w:rsidR="00246B3C" w:rsidRPr="002A2DB5" w:rsidRDefault="00246B3C" w:rsidP="002A2DB5">
      <w:pPr>
        <w:spacing w:line="360" w:lineRule="auto"/>
        <w:rPr>
          <w:rFonts w:ascii="FangSong" w:eastAsia="FangSong" w:hAnsi="FangSong"/>
        </w:rPr>
      </w:pPr>
      <w:r w:rsidRPr="002A2DB5">
        <w:rPr>
          <w:rFonts w:ascii="FangSong" w:eastAsia="FangSong" w:hAnsi="FangSong" w:hint="eastAsia"/>
        </w:rPr>
        <w:t>备注：资料来源AECOM、平安证券研究所</w:t>
      </w:r>
    </w:p>
    <w:p w14:paraId="7D19A968" w14:textId="0F060700" w:rsidR="00290CE5" w:rsidRPr="002A2DB5" w:rsidRDefault="00B63664" w:rsidP="002A2DB5">
      <w:pPr>
        <w:pStyle w:val="1"/>
        <w:spacing w:line="360" w:lineRule="auto"/>
        <w:rPr>
          <w:rFonts w:ascii="FangSong" w:eastAsia="FangSong" w:hAnsi="FangSong"/>
        </w:rPr>
      </w:pPr>
      <w:bookmarkStart w:id="9" w:name="_Toc24893513"/>
      <w:r w:rsidRPr="002A2DB5">
        <w:rPr>
          <w:rFonts w:ascii="FangSong" w:eastAsia="FangSong" w:hAnsi="FangSong" w:hint="eastAsia"/>
        </w:rPr>
        <w:t>四、</w:t>
      </w:r>
      <w:r w:rsidR="00290CE5" w:rsidRPr="002A2DB5">
        <w:rPr>
          <w:rFonts w:ascii="FangSong" w:eastAsia="FangSong" w:hAnsi="FangSong" w:hint="eastAsia"/>
        </w:rPr>
        <w:t>市场分析</w:t>
      </w:r>
      <w:bookmarkEnd w:id="9"/>
    </w:p>
    <w:p w14:paraId="23520FC5" w14:textId="41763658" w:rsidR="00947E78" w:rsidRPr="002A2DB5" w:rsidRDefault="00947E78" w:rsidP="002A2DB5">
      <w:pPr>
        <w:pStyle w:val="2"/>
        <w:spacing w:line="360" w:lineRule="auto"/>
        <w:rPr>
          <w:rFonts w:ascii="FangSong" w:eastAsia="FangSong" w:hAnsi="FangSong"/>
        </w:rPr>
      </w:pPr>
      <w:bookmarkStart w:id="10" w:name="_Toc24893514"/>
      <w:r w:rsidRPr="002A2DB5">
        <w:rPr>
          <w:rFonts w:ascii="FangSong" w:eastAsia="FangSong" w:hAnsi="FangSong" w:hint="eastAsia"/>
        </w:rPr>
        <w:t>4.1养老市场</w:t>
      </w:r>
      <w:r w:rsidR="00BA3881" w:rsidRPr="002A2DB5">
        <w:rPr>
          <w:rFonts w:ascii="FangSong" w:eastAsia="FangSong" w:hAnsi="FangSong" w:hint="eastAsia"/>
        </w:rPr>
        <w:t>分析</w:t>
      </w:r>
      <w:bookmarkEnd w:id="10"/>
    </w:p>
    <w:p w14:paraId="6C6581EE" w14:textId="7A066ACC" w:rsidR="00BA3881" w:rsidRPr="002A2DB5" w:rsidRDefault="00BA3881" w:rsidP="002A2DB5">
      <w:pPr>
        <w:spacing w:line="360" w:lineRule="auto"/>
        <w:rPr>
          <w:rFonts w:ascii="FangSong" w:eastAsia="FangSong" w:hAnsi="FangSong"/>
          <w:sz w:val="28"/>
          <w:szCs w:val="28"/>
        </w:rPr>
      </w:pPr>
      <w:r w:rsidRPr="002A2DB5">
        <w:rPr>
          <w:rFonts w:ascii="FangSong" w:eastAsia="FangSong" w:hAnsi="FangSong" w:hint="eastAsia"/>
          <w:sz w:val="28"/>
          <w:szCs w:val="28"/>
        </w:rPr>
        <w:t>1、老龄化程度加深成为发展动力</w:t>
      </w:r>
    </w:p>
    <w:p w14:paraId="633C1CED" w14:textId="07DAD419" w:rsidR="00BA3881" w:rsidRPr="002A2DB5" w:rsidRDefault="00BA3881" w:rsidP="002A2DB5">
      <w:pPr>
        <w:spacing w:line="360" w:lineRule="auto"/>
        <w:rPr>
          <w:rFonts w:ascii="FangSong" w:eastAsia="FangSong" w:hAnsi="FangSong"/>
          <w:sz w:val="28"/>
          <w:szCs w:val="28"/>
        </w:rPr>
      </w:pPr>
      <w:r w:rsidRPr="002A2DB5">
        <w:rPr>
          <w:rFonts w:ascii="FangSong" w:eastAsia="FangSong" w:hAnsi="FangSong" w:hint="eastAsia"/>
          <w:sz w:val="28"/>
          <w:szCs w:val="28"/>
        </w:rPr>
        <w:lastRenderedPageBreak/>
        <w:t xml:space="preserve">   联合国老龄化标准：60岁以上人口比例达10%或65岁以上人口比例达7%，该地区可视为进入老龄化社会。</w:t>
      </w:r>
    </w:p>
    <w:p w14:paraId="71077F19" w14:textId="462AB309" w:rsidR="00BA3881" w:rsidRPr="002A2DB5" w:rsidRDefault="00BA3881" w:rsidP="00122C2C">
      <w:pPr>
        <w:pStyle w:val="a3"/>
        <w:numPr>
          <w:ilvl w:val="0"/>
          <w:numId w:val="4"/>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中国已经处于老龄化社会</w:t>
      </w:r>
    </w:p>
    <w:p w14:paraId="4C40EF63" w14:textId="025D8E3B" w:rsidR="00BA3881" w:rsidRPr="002A2DB5" w:rsidRDefault="00BA3881"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545E48">
        <w:rPr>
          <w:rFonts w:ascii="FangSong" w:eastAsia="FangSong" w:hAnsi="FangSong" w:hint="eastAsia"/>
          <w:sz w:val="28"/>
          <w:szCs w:val="28"/>
        </w:rPr>
        <w:t xml:space="preserve">  </w:t>
      </w:r>
      <w:r w:rsidRPr="002A2DB5">
        <w:rPr>
          <w:rFonts w:ascii="FangSong" w:eastAsia="FangSong" w:hAnsi="FangSong" w:hint="eastAsia"/>
          <w:sz w:val="28"/>
          <w:szCs w:val="28"/>
        </w:rPr>
        <w:t xml:space="preserve"> 截至2018年底，我国60周岁及以上的老龄人口数达到2.49亿，占总人口比重的17.9%，其中65周岁及以上老龄人口数达到1.67亿，</w:t>
      </w:r>
      <w:r w:rsidR="008443C5" w:rsidRPr="002A2DB5">
        <w:rPr>
          <w:rFonts w:ascii="FangSong" w:eastAsia="FangSong" w:hAnsi="FangSong" w:hint="eastAsia"/>
          <w:sz w:val="28"/>
          <w:szCs w:val="28"/>
        </w:rPr>
        <w:t>占总人口比重的11.9%。根据世界卫生组织预测，到2050年，中国将有35%的人口超过60岁，成为世界上老龄化最严重的国家。</w:t>
      </w:r>
    </w:p>
    <w:p w14:paraId="694695FA" w14:textId="6770220D" w:rsidR="008443C5" w:rsidRPr="002A2DB5" w:rsidRDefault="008443C5"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53D7468E" wp14:editId="187B42FF">
            <wp:extent cx="4406900" cy="3162300"/>
            <wp:effectExtent l="0" t="0" r="1270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屏幕快照 2019-10-29 下午3.05.09.png"/>
                    <pic:cNvPicPr/>
                  </pic:nvPicPr>
                  <pic:blipFill>
                    <a:blip r:embed="rId24">
                      <a:extLst>
                        <a:ext uri="{28A0092B-C50C-407E-A947-70E740481C1C}">
                          <a14:useLocalDpi xmlns:a14="http://schemas.microsoft.com/office/drawing/2010/main" val="0"/>
                        </a:ext>
                      </a:extLst>
                    </a:blip>
                    <a:stretch>
                      <a:fillRect/>
                    </a:stretch>
                  </pic:blipFill>
                  <pic:spPr>
                    <a:xfrm>
                      <a:off x="0" y="0"/>
                      <a:ext cx="4406900" cy="3162300"/>
                    </a:xfrm>
                    <a:prstGeom prst="rect">
                      <a:avLst/>
                    </a:prstGeom>
                  </pic:spPr>
                </pic:pic>
              </a:graphicData>
            </a:graphic>
          </wp:inline>
        </w:drawing>
      </w:r>
    </w:p>
    <w:p w14:paraId="572BCB7F" w14:textId="50181E79" w:rsidR="00BA3881" w:rsidRPr="002A2DB5" w:rsidRDefault="00BA3881" w:rsidP="00122C2C">
      <w:pPr>
        <w:pStyle w:val="a3"/>
        <w:numPr>
          <w:ilvl w:val="0"/>
          <w:numId w:val="4"/>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当前老龄人口增速远超总人口增速</w:t>
      </w:r>
    </w:p>
    <w:p w14:paraId="2FCCC101" w14:textId="77777777" w:rsidR="00545E48" w:rsidRDefault="008443C5" w:rsidP="00545E48">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t>2018年我国65岁以上人口增速为5.2%，较2017年增长了约</w:t>
      </w:r>
    </w:p>
    <w:p w14:paraId="4BC5F4D2" w14:textId="62594241" w:rsidR="008443C5" w:rsidRPr="00545E48" w:rsidRDefault="00545E48" w:rsidP="00545E48">
      <w:pPr>
        <w:spacing w:line="360" w:lineRule="auto"/>
        <w:rPr>
          <w:rFonts w:ascii="FangSong" w:eastAsia="FangSong" w:hAnsi="FangSong"/>
          <w:sz w:val="28"/>
          <w:szCs w:val="28"/>
        </w:rPr>
      </w:pPr>
      <w:r>
        <w:rPr>
          <w:rFonts w:ascii="FangSong" w:eastAsia="FangSong" w:hAnsi="FangSong" w:hint="eastAsia"/>
          <w:sz w:val="28"/>
          <w:szCs w:val="28"/>
        </w:rPr>
        <w:t>8</w:t>
      </w:r>
      <w:r w:rsidR="008443C5" w:rsidRPr="00545E48">
        <w:rPr>
          <w:rFonts w:ascii="FangSong" w:eastAsia="FangSong" w:hAnsi="FangSong" w:hint="eastAsia"/>
          <w:sz w:val="28"/>
          <w:szCs w:val="28"/>
        </w:rPr>
        <w:t>27万人。而总人口在2018年增速仅为0.38%，较2017年下降0.15个百分点，童年出生率仅为10.94‰，较2017年下降1.49个</w:t>
      </w:r>
      <w:r w:rsidR="008443C5" w:rsidRPr="00545E48">
        <w:rPr>
          <w:rFonts w:ascii="FangSong" w:eastAsia="FangSong" w:hAnsi="FangSong" w:hint="eastAsia"/>
          <w:sz w:val="28"/>
          <w:szCs w:val="28"/>
        </w:rPr>
        <w:lastRenderedPageBreak/>
        <w:t>千分点。1999年至2018年我国65岁以上人口的平均增速达到3.5%，同期我国人口增速仅为0.56%，老龄人口比重持续增加。</w:t>
      </w:r>
    </w:p>
    <w:p w14:paraId="49817E1E" w14:textId="56FB8189" w:rsidR="008443C5" w:rsidRPr="002A2DB5" w:rsidRDefault="008443C5"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09A558D6" wp14:editId="678ABACF">
            <wp:extent cx="3901672" cy="2865830"/>
            <wp:effectExtent l="0" t="0" r="1016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屏幕快照 2019-10-29 下午3.07.59.png"/>
                    <pic:cNvPicPr/>
                  </pic:nvPicPr>
                  <pic:blipFill>
                    <a:blip r:embed="rId25">
                      <a:extLst>
                        <a:ext uri="{28A0092B-C50C-407E-A947-70E740481C1C}">
                          <a14:useLocalDpi xmlns:a14="http://schemas.microsoft.com/office/drawing/2010/main" val="0"/>
                        </a:ext>
                      </a:extLst>
                    </a:blip>
                    <a:stretch>
                      <a:fillRect/>
                    </a:stretch>
                  </pic:blipFill>
                  <pic:spPr>
                    <a:xfrm>
                      <a:off x="0" y="0"/>
                      <a:ext cx="3906893" cy="2869665"/>
                    </a:xfrm>
                    <a:prstGeom prst="rect">
                      <a:avLst/>
                    </a:prstGeom>
                  </pic:spPr>
                </pic:pic>
              </a:graphicData>
            </a:graphic>
          </wp:inline>
        </w:drawing>
      </w:r>
    </w:p>
    <w:p w14:paraId="4855D907" w14:textId="2208F237" w:rsidR="00BA3881" w:rsidRPr="002A2DB5" w:rsidRDefault="00BA3881" w:rsidP="00122C2C">
      <w:pPr>
        <w:pStyle w:val="a3"/>
        <w:numPr>
          <w:ilvl w:val="0"/>
          <w:numId w:val="4"/>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未来抚养比将超过世界平均水平</w:t>
      </w:r>
    </w:p>
    <w:p w14:paraId="038FA900" w14:textId="77777777" w:rsidR="00035B01" w:rsidRDefault="00F46F3E" w:rsidP="00035B01">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t>根据联合国2017年的测算，我国60岁以上人口将在2055年</w:t>
      </w:r>
    </w:p>
    <w:p w14:paraId="23E295F9" w14:textId="39532344" w:rsidR="00F46F3E" w:rsidRPr="00035B01" w:rsidRDefault="00F46F3E" w:rsidP="00035B01">
      <w:pPr>
        <w:spacing w:line="360" w:lineRule="auto"/>
        <w:rPr>
          <w:rFonts w:ascii="FangSong" w:eastAsia="FangSong" w:hAnsi="FangSong"/>
          <w:sz w:val="28"/>
          <w:szCs w:val="28"/>
        </w:rPr>
      </w:pPr>
      <w:r w:rsidRPr="00035B01">
        <w:rPr>
          <w:rFonts w:ascii="FangSong" w:eastAsia="FangSong" w:hAnsi="FangSong" w:hint="eastAsia"/>
          <w:sz w:val="28"/>
          <w:szCs w:val="28"/>
        </w:rPr>
        <w:t>左右达到最高峰，预计约5.07亿人，而同期劳动人口数量将不断下降，预计2055年25-64岁人口约7.3亿人，青壮年工作年龄段人口数量下降速度将超过老龄人增长速度，2035年前后抚养比将超过世界平均水平。</w:t>
      </w:r>
    </w:p>
    <w:p w14:paraId="089EB789" w14:textId="7D3B3CF6" w:rsidR="00F46F3E" w:rsidRPr="002A2DB5" w:rsidRDefault="00F46F3E"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767B9D02" wp14:editId="5DED8CB1">
            <wp:extent cx="4610100" cy="3111500"/>
            <wp:effectExtent l="0" t="0" r="1270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9-10-29 下午3.10.33.png"/>
                    <pic:cNvPicPr/>
                  </pic:nvPicPr>
                  <pic:blipFill>
                    <a:blip r:embed="rId26">
                      <a:extLst>
                        <a:ext uri="{28A0092B-C50C-407E-A947-70E740481C1C}">
                          <a14:useLocalDpi xmlns:a14="http://schemas.microsoft.com/office/drawing/2010/main" val="0"/>
                        </a:ext>
                      </a:extLst>
                    </a:blip>
                    <a:stretch>
                      <a:fillRect/>
                    </a:stretch>
                  </pic:blipFill>
                  <pic:spPr>
                    <a:xfrm>
                      <a:off x="0" y="0"/>
                      <a:ext cx="4610100" cy="3111500"/>
                    </a:xfrm>
                    <a:prstGeom prst="rect">
                      <a:avLst/>
                    </a:prstGeom>
                  </pic:spPr>
                </pic:pic>
              </a:graphicData>
            </a:graphic>
          </wp:inline>
        </w:drawing>
      </w:r>
    </w:p>
    <w:p w14:paraId="649EA153" w14:textId="349FE603" w:rsidR="00F46F3E" w:rsidRPr="002A2DB5" w:rsidRDefault="00BA3881" w:rsidP="002A2DB5">
      <w:pPr>
        <w:spacing w:line="360" w:lineRule="auto"/>
        <w:rPr>
          <w:rFonts w:ascii="FangSong" w:eastAsia="FangSong" w:hAnsi="FangSong"/>
          <w:sz w:val="28"/>
          <w:szCs w:val="28"/>
        </w:rPr>
      </w:pPr>
      <w:r w:rsidRPr="002A2DB5">
        <w:rPr>
          <w:rFonts w:ascii="FangSong" w:eastAsia="FangSong" w:hAnsi="FangSong" w:hint="eastAsia"/>
          <w:sz w:val="28"/>
          <w:szCs w:val="28"/>
        </w:rPr>
        <w:t>2、中产阶级老龄化推高中高端养老需求</w:t>
      </w:r>
    </w:p>
    <w:p w14:paraId="2DB45376" w14:textId="46D8779A" w:rsidR="00F46F3E" w:rsidRPr="002A2DB5" w:rsidRDefault="00F46F3E"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首批中产阶级指改革开放后通过自身努力拥有财富积累的群体。这一群体目前主要集中在50岁至65岁年龄段，具有较强的消费能力和消费需求，富人变老将推动养老产业朝着中高端方向变革。</w:t>
      </w:r>
    </w:p>
    <w:p w14:paraId="0B9603D9" w14:textId="73E1A266" w:rsidR="00200E24" w:rsidRPr="002A2DB5" w:rsidRDefault="00F46F3E" w:rsidP="00035B01">
      <w:pPr>
        <w:spacing w:line="360" w:lineRule="auto"/>
        <w:ind w:firstLine="480"/>
        <w:rPr>
          <w:rFonts w:ascii="FangSong" w:eastAsia="FangSong" w:hAnsi="FangSong"/>
          <w:sz w:val="28"/>
          <w:szCs w:val="28"/>
        </w:rPr>
      </w:pPr>
      <w:r w:rsidRPr="002A2DB5">
        <w:rPr>
          <w:rFonts w:ascii="FangSong" w:eastAsia="FangSong" w:hAnsi="FangSong" w:hint="eastAsia"/>
          <w:sz w:val="28"/>
          <w:szCs w:val="28"/>
        </w:rPr>
        <w:t>根据中国建设银行与波士顿咨询公司开展的私人银行客户调查，样本中近半年数高净值客户已迈过50岁门槛，“富人养老”脚步渐行渐远。</w:t>
      </w:r>
      <w:r w:rsidR="00200E24" w:rsidRPr="002A2DB5">
        <w:rPr>
          <w:rFonts w:ascii="FangSong" w:eastAsia="FangSong" w:hAnsi="FangSong" w:hint="eastAsia"/>
          <w:sz w:val="28"/>
          <w:szCs w:val="28"/>
        </w:rPr>
        <w:t>养老需求总量增长叠加富人养老，我国养老产业潜在市场需求可观，根据中国社科院2016年发布的《中国养老产业发展白皮书》预计，至2030年中国养老产业规模有望达到13万亿元。</w:t>
      </w:r>
    </w:p>
    <w:p w14:paraId="12CF480B" w14:textId="620B143F" w:rsidR="00F46F3E" w:rsidRPr="002A2DB5" w:rsidRDefault="00200E24" w:rsidP="00122C2C">
      <w:pPr>
        <w:pStyle w:val="a3"/>
        <w:numPr>
          <w:ilvl w:val="0"/>
          <w:numId w:val="5"/>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高净值人群对中高端养老社区态度三年数据对比如下：</w:t>
      </w:r>
    </w:p>
    <w:p w14:paraId="00874FBF" w14:textId="161677B8" w:rsidR="00200E24" w:rsidRPr="002A2DB5" w:rsidRDefault="00200E2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76FB9120" wp14:editId="4C9DCCDB">
            <wp:extent cx="5105400" cy="3314700"/>
            <wp:effectExtent l="0" t="0" r="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屏幕快照 2019-10-29 下午3.16.10.png"/>
                    <pic:cNvPicPr/>
                  </pic:nvPicPr>
                  <pic:blipFill>
                    <a:blip r:embed="rId27">
                      <a:extLst>
                        <a:ext uri="{28A0092B-C50C-407E-A947-70E740481C1C}">
                          <a14:useLocalDpi xmlns:a14="http://schemas.microsoft.com/office/drawing/2010/main" val="0"/>
                        </a:ext>
                      </a:extLst>
                    </a:blip>
                    <a:stretch>
                      <a:fillRect/>
                    </a:stretch>
                  </pic:blipFill>
                  <pic:spPr>
                    <a:xfrm>
                      <a:off x="0" y="0"/>
                      <a:ext cx="5105400" cy="3314700"/>
                    </a:xfrm>
                    <a:prstGeom prst="rect">
                      <a:avLst/>
                    </a:prstGeom>
                  </pic:spPr>
                </pic:pic>
              </a:graphicData>
            </a:graphic>
          </wp:inline>
        </w:drawing>
      </w:r>
    </w:p>
    <w:p w14:paraId="7DF9D04A" w14:textId="1E7C5B62" w:rsidR="00200E24" w:rsidRPr="002A2DB5" w:rsidRDefault="00200E24" w:rsidP="00122C2C">
      <w:pPr>
        <w:pStyle w:val="a3"/>
        <w:numPr>
          <w:ilvl w:val="0"/>
          <w:numId w:val="5"/>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首批中产群体退休在即（单位：亿人）</w:t>
      </w:r>
    </w:p>
    <w:p w14:paraId="5CC8CD64" w14:textId="7FAA8CBD" w:rsidR="00200E24" w:rsidRPr="002A2DB5" w:rsidRDefault="00200E2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4CE63D2C" wp14:editId="7FD4CC01">
            <wp:extent cx="5270500" cy="2173605"/>
            <wp:effectExtent l="0" t="0" r="1270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屏幕快照 2019-10-29 下午3.16.19.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2173605"/>
                    </a:xfrm>
                    <a:prstGeom prst="rect">
                      <a:avLst/>
                    </a:prstGeom>
                  </pic:spPr>
                </pic:pic>
              </a:graphicData>
            </a:graphic>
          </wp:inline>
        </w:drawing>
      </w:r>
    </w:p>
    <w:p w14:paraId="44B3A4A2" w14:textId="0E7A0F38" w:rsidR="00200E24" w:rsidRPr="002A2DB5" w:rsidRDefault="00200E24" w:rsidP="00122C2C">
      <w:pPr>
        <w:pStyle w:val="a3"/>
        <w:numPr>
          <w:ilvl w:val="0"/>
          <w:numId w:val="5"/>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银行高净值客户年龄分布</w:t>
      </w:r>
    </w:p>
    <w:p w14:paraId="21A33D79" w14:textId="4446E325" w:rsidR="00200E24" w:rsidRPr="002A2DB5" w:rsidRDefault="00200E24"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6E84D024" wp14:editId="0AA7B393">
            <wp:extent cx="5270500" cy="2226310"/>
            <wp:effectExtent l="0" t="0" r="1270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屏幕快照 2019-10-29 下午3.16.27.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2226310"/>
                    </a:xfrm>
                    <a:prstGeom prst="rect">
                      <a:avLst/>
                    </a:prstGeom>
                  </pic:spPr>
                </pic:pic>
              </a:graphicData>
            </a:graphic>
          </wp:inline>
        </w:drawing>
      </w:r>
    </w:p>
    <w:p w14:paraId="7446CE7A" w14:textId="77777777" w:rsidR="004456F1" w:rsidRPr="002A2DB5" w:rsidRDefault="004456F1" w:rsidP="002A2DB5">
      <w:pPr>
        <w:spacing w:line="360" w:lineRule="auto"/>
        <w:rPr>
          <w:rFonts w:ascii="FangSong" w:eastAsia="FangSong" w:hAnsi="FangSong"/>
          <w:sz w:val="28"/>
          <w:szCs w:val="28"/>
        </w:rPr>
      </w:pPr>
      <w:r w:rsidRPr="002A2DB5">
        <w:rPr>
          <w:rFonts w:ascii="FangSong" w:eastAsia="FangSong" w:hAnsi="FangSong" w:hint="eastAsia"/>
          <w:sz w:val="28"/>
          <w:szCs w:val="28"/>
        </w:rPr>
        <w:t>4）养老地产主要面向高端养老客户</w:t>
      </w:r>
    </w:p>
    <w:p w14:paraId="270FB90E" w14:textId="21E03E4C" w:rsidR="004456F1" w:rsidRPr="002A2DB5" w:rsidRDefault="004456F1"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32C2B43D" wp14:editId="1C541C6C">
            <wp:extent cx="5270500" cy="3381375"/>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屏幕快照 2019-10-29 下午2.42.31.png"/>
                    <pic:cNvPicPr/>
                  </pic:nvPicPr>
                  <pic:blipFill>
                    <a:blip r:embed="rId30">
                      <a:extLst>
                        <a:ext uri="{28A0092B-C50C-407E-A947-70E740481C1C}">
                          <a14:useLocalDpi xmlns:a14="http://schemas.microsoft.com/office/drawing/2010/main" val="0"/>
                        </a:ext>
                      </a:extLst>
                    </a:blip>
                    <a:stretch>
                      <a:fillRect/>
                    </a:stretch>
                  </pic:blipFill>
                  <pic:spPr>
                    <a:xfrm>
                      <a:off x="0" y="0"/>
                      <a:ext cx="5270500" cy="3381375"/>
                    </a:xfrm>
                    <a:prstGeom prst="rect">
                      <a:avLst/>
                    </a:prstGeom>
                  </pic:spPr>
                </pic:pic>
              </a:graphicData>
            </a:graphic>
          </wp:inline>
        </w:drawing>
      </w:r>
    </w:p>
    <w:p w14:paraId="4860E6F3" w14:textId="4135CD28" w:rsidR="00BA3881" w:rsidRPr="002A2DB5" w:rsidRDefault="00BA3881" w:rsidP="002A2DB5">
      <w:pPr>
        <w:spacing w:line="360" w:lineRule="auto"/>
        <w:rPr>
          <w:rFonts w:ascii="FangSong" w:eastAsia="FangSong" w:hAnsi="FangSong"/>
          <w:sz w:val="28"/>
          <w:szCs w:val="28"/>
        </w:rPr>
      </w:pPr>
      <w:r w:rsidRPr="002A2DB5">
        <w:rPr>
          <w:rFonts w:ascii="FangSong" w:eastAsia="FangSong" w:hAnsi="FangSong" w:hint="eastAsia"/>
          <w:sz w:val="28"/>
          <w:szCs w:val="28"/>
        </w:rPr>
        <w:t>3、政策驱动下养老地产迎来发展新契机</w:t>
      </w:r>
    </w:p>
    <w:p w14:paraId="24F2D8E1" w14:textId="104D2835" w:rsidR="00200E24" w:rsidRPr="002A2DB5" w:rsidRDefault="00200E24" w:rsidP="00122C2C">
      <w:pPr>
        <w:pStyle w:val="a3"/>
        <w:numPr>
          <w:ilvl w:val="0"/>
          <w:numId w:val="2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改革阶段（2000-2011）</w:t>
      </w:r>
    </w:p>
    <w:p w14:paraId="564A605F" w14:textId="7068B356" w:rsidR="00200E24" w:rsidRPr="002A2DB5" w:rsidRDefault="00200E24"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5D5FC1">
        <w:rPr>
          <w:rFonts w:ascii="FangSong" w:eastAsia="FangSong" w:hAnsi="FangSong" w:hint="eastAsia"/>
          <w:sz w:val="28"/>
          <w:szCs w:val="28"/>
        </w:rPr>
        <w:t xml:space="preserve">  </w:t>
      </w:r>
      <w:r w:rsidRPr="002A2DB5">
        <w:rPr>
          <w:rFonts w:ascii="FangSong" w:eastAsia="FangSong" w:hAnsi="FangSong" w:hint="eastAsia"/>
          <w:sz w:val="28"/>
          <w:szCs w:val="28"/>
        </w:rPr>
        <w:t>养老产业投资主体多元化、服务对象公众化、服务形式多样化；养老服务扩大到医疗、家政、文娱、老年教育等领域。</w:t>
      </w:r>
    </w:p>
    <w:p w14:paraId="5C0B6641" w14:textId="589F2A44" w:rsidR="00200E24" w:rsidRPr="002A2DB5" w:rsidRDefault="00200E24" w:rsidP="00122C2C">
      <w:pPr>
        <w:pStyle w:val="a3"/>
        <w:numPr>
          <w:ilvl w:val="0"/>
          <w:numId w:val="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2006.02.09：《关于加快发展养老服务业的意见》；</w:t>
      </w:r>
    </w:p>
    <w:p w14:paraId="10744C48" w14:textId="57C1851A" w:rsidR="00200E24" w:rsidRPr="002A2DB5" w:rsidRDefault="00200E24" w:rsidP="00122C2C">
      <w:pPr>
        <w:pStyle w:val="a3"/>
        <w:numPr>
          <w:ilvl w:val="0"/>
          <w:numId w:val="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2010.09.20：《关于加快发展家庭服务业的意见》；</w:t>
      </w:r>
    </w:p>
    <w:p w14:paraId="2270ADA0" w14:textId="43ECC06A" w:rsidR="00200E24" w:rsidRPr="002A2DB5" w:rsidRDefault="00200E24" w:rsidP="00122C2C">
      <w:pPr>
        <w:pStyle w:val="a3"/>
        <w:numPr>
          <w:ilvl w:val="0"/>
          <w:numId w:val="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lastRenderedPageBreak/>
        <w:t>2011.09.17：《中国老龄事业发展“十二五”规划》；</w:t>
      </w:r>
    </w:p>
    <w:p w14:paraId="7F34BA06" w14:textId="7644AEA4" w:rsidR="00200E24" w:rsidRPr="002A2DB5" w:rsidRDefault="00200E24" w:rsidP="00122C2C">
      <w:pPr>
        <w:pStyle w:val="a3"/>
        <w:numPr>
          <w:ilvl w:val="0"/>
          <w:numId w:val="6"/>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2011.12.16：《社会养老服务体系建设规划（2011-2015）》。</w:t>
      </w:r>
    </w:p>
    <w:p w14:paraId="06DDFEF9" w14:textId="0012194C" w:rsidR="00200E24" w:rsidRPr="002A2DB5" w:rsidRDefault="00200E24" w:rsidP="00122C2C">
      <w:pPr>
        <w:pStyle w:val="a3"/>
        <w:numPr>
          <w:ilvl w:val="0"/>
          <w:numId w:val="2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发展阶段（2012-2018）</w:t>
      </w:r>
    </w:p>
    <w:p w14:paraId="6C9E7FA4" w14:textId="516127BD" w:rsidR="00200E24" w:rsidRPr="002A2DB5" w:rsidRDefault="00200E24"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5D5FC1">
        <w:rPr>
          <w:rFonts w:ascii="FangSong" w:eastAsia="FangSong" w:hAnsi="FangSong" w:hint="eastAsia"/>
          <w:sz w:val="28"/>
          <w:szCs w:val="28"/>
        </w:rPr>
        <w:t xml:space="preserve">  </w:t>
      </w:r>
      <w:r w:rsidRPr="002A2DB5">
        <w:rPr>
          <w:rFonts w:ascii="FangSong" w:eastAsia="FangSong" w:hAnsi="FangSong" w:hint="eastAsia"/>
          <w:sz w:val="28"/>
          <w:szCs w:val="28"/>
        </w:rPr>
        <w:t>鼓励民间资本进入养老产业，大力推进居家养老，出现医养结合、以房养老、智慧养老新模式。</w:t>
      </w:r>
    </w:p>
    <w:p w14:paraId="27C25BFC" w14:textId="5BFDF219" w:rsidR="00200E24" w:rsidRPr="002A2DB5" w:rsidRDefault="00200E24"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2013.09.06：《关于加快发展养老服务业的若干意见》；</w:t>
      </w:r>
    </w:p>
    <w:p w14:paraId="065597FF" w14:textId="1F278BA9" w:rsidR="00200E24" w:rsidRDefault="00200E24"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2014.02.13：《关于加强养老服务设施规划建设工作的通知》；</w:t>
      </w:r>
    </w:p>
    <w:p w14:paraId="4BF67993" w14:textId="707CF232" w:rsidR="00571C8F" w:rsidRPr="002A2DB5" w:rsidRDefault="00707EE8" w:rsidP="00122C2C">
      <w:pPr>
        <w:pStyle w:val="a3"/>
        <w:numPr>
          <w:ilvl w:val="0"/>
          <w:numId w:val="7"/>
        </w:numPr>
        <w:spacing w:line="360" w:lineRule="auto"/>
        <w:ind w:firstLineChars="0"/>
        <w:rPr>
          <w:rFonts w:ascii="FangSong" w:eastAsia="FangSong" w:hAnsi="FangSong"/>
          <w:sz w:val="28"/>
          <w:szCs w:val="28"/>
        </w:rPr>
      </w:pPr>
      <w:r>
        <w:rPr>
          <w:rFonts w:ascii="FangSong" w:eastAsia="FangSong" w:hAnsi="FangSong" w:hint="eastAsia"/>
          <w:sz w:val="28"/>
          <w:szCs w:val="28"/>
        </w:rPr>
        <w:t>2014.09.12：《关于加快推进健康与养老服务工程建设的通知》；</w:t>
      </w:r>
    </w:p>
    <w:p w14:paraId="08E6F3E7" w14:textId="06E31BDF" w:rsidR="00200E24" w:rsidRPr="002A2DB5" w:rsidRDefault="00200E24"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2015.02.25：《关于鼓励民间资本参与养老服务业发展的实施意见》；</w:t>
      </w:r>
    </w:p>
    <w:p w14:paraId="79608534" w14:textId="01381FF7" w:rsidR="00200E24" w:rsidRPr="002A2DB5" w:rsidRDefault="00200E24"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2016.03.03：《关于金融支持养老服务业加快发展的指导意见》；</w:t>
      </w:r>
    </w:p>
    <w:p w14:paraId="0982FD32" w14:textId="075728EF" w:rsidR="00200E24" w:rsidRPr="002A2DB5" w:rsidRDefault="00200E24"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2016.06.16：《关于遴选国家级医养结合试点单位的通知》；</w:t>
      </w:r>
    </w:p>
    <w:p w14:paraId="21565066" w14:textId="70DC2AD2" w:rsidR="00200E24"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2016.07.13：《关于中央财经支持开展居家和社区养老服务改革试点工作的通知》</w:t>
      </w:r>
    </w:p>
    <w:p w14:paraId="4CE10DD3" w14:textId="1F031E9B"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2016.12.07：《国务院办公厅关于全面放开养老服务市场提升养老服务质量的若干意见》；</w:t>
      </w:r>
    </w:p>
    <w:p w14:paraId="6E99D812" w14:textId="544C389A"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2017.02.09：《关于加快推进养老服务业放管服改革的通知》；</w:t>
      </w:r>
    </w:p>
    <w:p w14:paraId="618F5F69" w14:textId="4308FCC9"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2017.02.20：《智慧健康养老产业发展行动化（2017-2020年）》；</w:t>
      </w:r>
    </w:p>
    <w:p w14:paraId="6F3AEFA8" w14:textId="21583084"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2017.02.28：《“十三五”国家老龄事业发展和养老体系建设规划》；</w:t>
      </w:r>
    </w:p>
    <w:p w14:paraId="6A7EE65B" w14:textId="4808D540"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2017.06.06：《关于制定和实施老年人照顾服务项目的意见》；</w:t>
      </w:r>
    </w:p>
    <w:p w14:paraId="320D6C84" w14:textId="08830BE4"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2017.06.29：《关于加快发展商业养老保险的若干意见》；</w:t>
      </w:r>
    </w:p>
    <w:p w14:paraId="301DF66A" w14:textId="251EDA17"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lastRenderedPageBreak/>
        <w:t>2017.08.21：《关于运用政府和社会资本合作模式支持养老服务项目的意见》</w:t>
      </w:r>
    </w:p>
    <w:p w14:paraId="25B17D40" w14:textId="0C92E40C"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2018.07.30：《国家卫生健康委员会只能配置、内设机构和人员编制规定》；</w:t>
      </w:r>
    </w:p>
    <w:p w14:paraId="2B5C3CBD" w14:textId="0ADDFA0D" w:rsidR="00BD098F" w:rsidRPr="002A2DB5" w:rsidRDefault="00BD098F" w:rsidP="00122C2C">
      <w:pPr>
        <w:pStyle w:val="a3"/>
        <w:numPr>
          <w:ilvl w:val="0"/>
          <w:numId w:val="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2018.12.29：修改《中华人民共和国老年人权益保障法》。</w:t>
      </w:r>
    </w:p>
    <w:p w14:paraId="1CD5A3B5" w14:textId="2CC4A35C" w:rsidR="00200E24" w:rsidRPr="002A2DB5" w:rsidRDefault="00200E24" w:rsidP="00122C2C">
      <w:pPr>
        <w:pStyle w:val="a3"/>
        <w:numPr>
          <w:ilvl w:val="0"/>
          <w:numId w:val="29"/>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新阶段（2019.04-）</w:t>
      </w:r>
    </w:p>
    <w:p w14:paraId="00CE7C19" w14:textId="0EBBC9C8" w:rsidR="00BD098F" w:rsidRPr="002A2DB5" w:rsidRDefault="00BD098F"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005D5FC1">
        <w:rPr>
          <w:rFonts w:ascii="FangSong" w:eastAsia="FangSong" w:hAnsi="FangSong" w:hint="eastAsia"/>
          <w:sz w:val="28"/>
          <w:szCs w:val="28"/>
        </w:rPr>
        <w:t xml:space="preserve">  </w:t>
      </w:r>
      <w:r w:rsidRPr="002A2DB5">
        <w:rPr>
          <w:rFonts w:ascii="FangSong" w:eastAsia="FangSong" w:hAnsi="FangSong" w:hint="eastAsia"/>
          <w:sz w:val="28"/>
          <w:szCs w:val="28"/>
        </w:rPr>
        <w:t>持续完善居家为基础、社区为依托、机构为补充、医养结合的养老服务体系，确保到2022年在保障人人享有基本养老服务的基础上有效满足老年人多样化、多层次养老服务需求，老年人及其子女获得感、幸福感、安全感显著提高。</w:t>
      </w:r>
    </w:p>
    <w:p w14:paraId="149F5C0B" w14:textId="77777777" w:rsidR="00035B01" w:rsidRDefault="00BD098F" w:rsidP="00035B01">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sz w:val="28"/>
          <w:szCs w:val="28"/>
        </w:rPr>
        <w:t>2019.04.16：《关于推进发展养老服务业的意见》国办发【2019】</w:t>
      </w:r>
    </w:p>
    <w:p w14:paraId="5A9961B1" w14:textId="409ABCB5" w:rsidR="00BD098F" w:rsidRPr="00035B01" w:rsidRDefault="00BD098F" w:rsidP="00035B01">
      <w:pPr>
        <w:spacing w:line="360" w:lineRule="auto"/>
        <w:rPr>
          <w:rFonts w:ascii="FangSong" w:eastAsia="FangSong" w:hAnsi="FangSong"/>
          <w:sz w:val="28"/>
          <w:szCs w:val="28"/>
        </w:rPr>
      </w:pPr>
      <w:r w:rsidRPr="00035B01">
        <w:rPr>
          <w:rFonts w:ascii="FangSong" w:eastAsia="FangSong" w:hAnsi="FangSong" w:hint="eastAsia"/>
          <w:sz w:val="28"/>
          <w:szCs w:val="28"/>
        </w:rPr>
        <w:t>5号，提出了六个方面共28条具体政策措施：</w:t>
      </w:r>
    </w:p>
    <w:p w14:paraId="7B84972C" w14:textId="7CF0A2C2" w:rsidR="00BD098F" w:rsidRPr="002A2DB5" w:rsidRDefault="00BD098F" w:rsidP="00122C2C">
      <w:pPr>
        <w:pStyle w:val="a3"/>
        <w:numPr>
          <w:ilvl w:val="0"/>
          <w:numId w:val="8"/>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减轻养老服务税费负担：</w:t>
      </w:r>
      <w:r w:rsidR="00045800" w:rsidRPr="002A2DB5">
        <w:rPr>
          <w:rFonts w:ascii="FangSong" w:eastAsia="FangSong" w:hAnsi="FangSong" w:hint="eastAsia"/>
          <w:sz w:val="28"/>
          <w:szCs w:val="28"/>
        </w:rPr>
        <w:t>聚焦减税降费，养老服务机构符合现行政策规定条件的，可享受小微企业等财税优惠政策。对在社区提供日间照料、康复护理、助餐助行</w:t>
      </w:r>
      <w:r w:rsidR="004456F1" w:rsidRPr="002A2DB5">
        <w:rPr>
          <w:rFonts w:ascii="FangSong" w:eastAsia="FangSong" w:hAnsi="FangSong" w:hint="eastAsia"/>
          <w:sz w:val="28"/>
          <w:szCs w:val="28"/>
        </w:rPr>
        <w:t>等服务的养老服务机构给与税费减免扶持政策。落实各项行政事业性收费减免政策，落实养老服务机构用电、用水、用气、用热享受居民价格政策，不得以土地、房屋性质等为理由拒绝执行相关价格政策；</w:t>
      </w:r>
    </w:p>
    <w:p w14:paraId="59D09F11" w14:textId="05DABC45" w:rsidR="00BD098F" w:rsidRPr="002A2DB5" w:rsidRDefault="00BD098F" w:rsidP="00122C2C">
      <w:pPr>
        <w:pStyle w:val="a3"/>
        <w:numPr>
          <w:ilvl w:val="0"/>
          <w:numId w:val="8"/>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提升政府投入精准化水平：</w:t>
      </w:r>
      <w:r w:rsidR="004456F1" w:rsidRPr="002A2DB5">
        <w:rPr>
          <w:rFonts w:ascii="FangSong" w:eastAsia="FangSong" w:hAnsi="FangSong" w:hint="eastAsia"/>
          <w:sz w:val="28"/>
          <w:szCs w:val="28"/>
        </w:rPr>
        <w:t>接受经济困难的高龄失能老年人的养老机构，不区分经营性质按上述老年人数量同等享受运营补贴，入住的上述老年人按规定享受养老服务补贴。</w:t>
      </w:r>
    </w:p>
    <w:p w14:paraId="7E964FCF" w14:textId="3A2635F1" w:rsidR="00BD098F" w:rsidRPr="002A2DB5" w:rsidRDefault="00BD098F" w:rsidP="00122C2C">
      <w:pPr>
        <w:pStyle w:val="a3"/>
        <w:numPr>
          <w:ilvl w:val="0"/>
          <w:numId w:val="8"/>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lastRenderedPageBreak/>
        <w:t>支持养老机构规模化、连锁化发展：</w:t>
      </w:r>
      <w:r w:rsidR="004456F1" w:rsidRPr="002A2DB5">
        <w:rPr>
          <w:rFonts w:ascii="FangSong" w:eastAsia="FangSong" w:hAnsi="FangSong" w:hint="eastAsia"/>
          <w:sz w:val="28"/>
          <w:szCs w:val="28"/>
        </w:rPr>
        <w:t>支持在养老服务领域着力打造一批具有影响力和竞争力的养老服务商标品牌，对养老服务商标品牌依法加强保护。对已经在其他地方去的营业执照的企业，不得要求其在本地开展经营活动时必须设立子公司。</w:t>
      </w:r>
    </w:p>
    <w:p w14:paraId="13DF12B4" w14:textId="3C7A257E" w:rsidR="00BD098F" w:rsidRPr="002A2DB5" w:rsidRDefault="00BD098F" w:rsidP="00122C2C">
      <w:pPr>
        <w:pStyle w:val="a3"/>
        <w:numPr>
          <w:ilvl w:val="0"/>
          <w:numId w:val="8"/>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推动解决养老服务机构融资问题：</w:t>
      </w:r>
      <w:r w:rsidR="004456F1" w:rsidRPr="002A2DB5">
        <w:rPr>
          <w:rFonts w:ascii="FangSong" w:eastAsia="FangSong" w:hAnsi="FangSong" w:hint="eastAsia"/>
          <w:sz w:val="28"/>
          <w:szCs w:val="28"/>
        </w:rPr>
        <w:t>鼓励商业银行探索向产权明晰的民办养老机构发放资产（设施）抵押贷款和营收账款质押贷款。探索允许营利性养老机构以有偿取得的土地、设施等资产进行抵押融资。大力支持符合条件的市场化、规范化程度高的养老服务企业上市融资。支持商业保险机构举办养老服务机构或参与养老服务机构的建设和运营，适度拓宽保险资金投资建设养老项目资金来源。</w:t>
      </w:r>
    </w:p>
    <w:p w14:paraId="128CBEA3" w14:textId="7683E841" w:rsidR="004456F1" w:rsidRPr="002A2DB5" w:rsidRDefault="004456F1" w:rsidP="00122C2C">
      <w:pPr>
        <w:pStyle w:val="a3"/>
        <w:numPr>
          <w:ilvl w:val="0"/>
          <w:numId w:val="8"/>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完善养老服务设施供地政策：鼓励各地探索利用集体建设用地发展养老服务设施</w:t>
      </w:r>
      <w:r w:rsidR="004B58B8" w:rsidRPr="002A2DB5">
        <w:rPr>
          <w:rFonts w:ascii="FangSong" w:eastAsia="FangSong" w:hAnsi="FangSong" w:hint="eastAsia"/>
          <w:sz w:val="28"/>
          <w:szCs w:val="28"/>
        </w:rPr>
        <w:t>。存量商业服务用地其他用地用于养老服务设施建设的，允许按照适老化设计要求调整户均面积、租赁期限，车位配比及消防审验等土地和规划要求。</w:t>
      </w:r>
    </w:p>
    <w:p w14:paraId="53B4F002" w14:textId="77777777" w:rsidR="00B12CC0" w:rsidRPr="002A2DB5" w:rsidRDefault="00B12CC0" w:rsidP="002A2DB5">
      <w:pPr>
        <w:pStyle w:val="a3"/>
        <w:spacing w:line="360" w:lineRule="auto"/>
        <w:ind w:left="480" w:firstLineChars="0" w:firstLine="0"/>
        <w:rPr>
          <w:rFonts w:ascii="FangSong" w:eastAsia="FangSong" w:hAnsi="FangSong"/>
          <w:sz w:val="28"/>
          <w:szCs w:val="28"/>
        </w:rPr>
      </w:pPr>
      <w:r w:rsidRPr="002A2DB5">
        <w:rPr>
          <w:rFonts w:ascii="FangSong" w:eastAsia="FangSong" w:hAnsi="FangSong" w:hint="eastAsia"/>
          <w:sz w:val="28"/>
          <w:szCs w:val="28"/>
        </w:rPr>
        <w:t>综上所述：最新政策减税降费，支持养老机构运营；推动养老机构规模化、</w:t>
      </w:r>
    </w:p>
    <w:p w14:paraId="040216A3" w14:textId="7EC98EBA" w:rsidR="00E75F84" w:rsidRPr="002A2DB5" w:rsidRDefault="00035B01" w:rsidP="002A2DB5">
      <w:pPr>
        <w:spacing w:line="360" w:lineRule="auto"/>
        <w:rPr>
          <w:rFonts w:ascii="FangSong" w:eastAsia="FangSong" w:hAnsi="FangSong"/>
          <w:sz w:val="28"/>
          <w:szCs w:val="28"/>
        </w:rPr>
      </w:pPr>
      <w:r>
        <w:rPr>
          <w:rFonts w:ascii="FangSong" w:eastAsia="FangSong" w:hAnsi="FangSong" w:hint="eastAsia"/>
          <w:sz w:val="28"/>
          <w:szCs w:val="28"/>
        </w:rPr>
        <w:t xml:space="preserve">   </w:t>
      </w:r>
      <w:r w:rsidR="00B12CC0" w:rsidRPr="002A2DB5">
        <w:rPr>
          <w:rFonts w:ascii="FangSong" w:eastAsia="FangSong" w:hAnsi="FangSong" w:hint="eastAsia"/>
          <w:sz w:val="28"/>
          <w:szCs w:val="28"/>
        </w:rPr>
        <w:t>连锁化发展，有望催生养老产业龙头；加强融资支持，放宽险资进入养老地产限制，险企布局养老产业迎来新契机；多措并举加强养老产业土地供应，全面助力养老地产行业发展。</w:t>
      </w:r>
    </w:p>
    <w:p w14:paraId="2F6DD1BF" w14:textId="78B8CA22" w:rsidR="00011B45" w:rsidRPr="002A2DB5" w:rsidRDefault="007D6DFC" w:rsidP="002A2DB5">
      <w:pPr>
        <w:pStyle w:val="2"/>
        <w:spacing w:line="360" w:lineRule="auto"/>
        <w:rPr>
          <w:rFonts w:ascii="FangSong" w:eastAsia="FangSong" w:hAnsi="FangSong"/>
        </w:rPr>
      </w:pPr>
      <w:bookmarkStart w:id="11" w:name="_Toc24893515"/>
      <w:r w:rsidRPr="002A2DB5">
        <w:rPr>
          <w:rFonts w:ascii="FangSong" w:eastAsia="FangSong" w:hAnsi="FangSong" w:hint="eastAsia"/>
        </w:rPr>
        <w:lastRenderedPageBreak/>
        <w:t>4.2</w:t>
      </w:r>
      <w:r w:rsidR="0030126B" w:rsidRPr="002A2DB5">
        <w:rPr>
          <w:rFonts w:ascii="FangSong" w:eastAsia="FangSong" w:hAnsi="FangSong" w:hint="eastAsia"/>
        </w:rPr>
        <w:t>市场</w:t>
      </w:r>
      <w:r w:rsidR="00011B45" w:rsidRPr="002A2DB5">
        <w:rPr>
          <w:rFonts w:ascii="FangSong" w:eastAsia="FangSong" w:hAnsi="FangSong" w:hint="eastAsia"/>
        </w:rPr>
        <w:t>格局</w:t>
      </w:r>
      <w:r w:rsidR="00E7365E">
        <w:rPr>
          <w:rFonts w:ascii="FangSong" w:eastAsia="FangSong" w:hAnsi="FangSong" w:hint="eastAsia"/>
        </w:rPr>
        <w:t>分析</w:t>
      </w:r>
      <w:bookmarkEnd w:id="11"/>
    </w:p>
    <w:p w14:paraId="16D76FB0" w14:textId="37193A6B" w:rsidR="00EB15A2" w:rsidRPr="002A2DB5" w:rsidRDefault="004937E0" w:rsidP="002A2DB5">
      <w:pPr>
        <w:spacing w:line="360" w:lineRule="auto"/>
        <w:rPr>
          <w:rFonts w:ascii="FangSong" w:eastAsia="FangSong" w:hAnsi="FangSong"/>
          <w:sz w:val="28"/>
          <w:szCs w:val="28"/>
        </w:rPr>
      </w:pPr>
      <w:r w:rsidRPr="002A2DB5">
        <w:rPr>
          <w:rFonts w:ascii="FangSong" w:eastAsia="FangSong" w:hAnsi="FangSong" w:hint="eastAsia"/>
        </w:rPr>
        <w:t xml:space="preserve">  </w:t>
      </w:r>
      <w:r w:rsidRPr="002A2DB5">
        <w:rPr>
          <w:rFonts w:ascii="FangSong" w:eastAsia="FangSong" w:hAnsi="FangSong" w:hint="eastAsia"/>
          <w:sz w:val="28"/>
          <w:szCs w:val="28"/>
        </w:rPr>
        <w:t xml:space="preserve"> </w:t>
      </w:r>
      <w:r w:rsidR="00EB15A2" w:rsidRPr="002A2DB5">
        <w:rPr>
          <w:rFonts w:ascii="FangSong" w:eastAsia="FangSong" w:hAnsi="FangSong" w:hint="eastAsia"/>
          <w:sz w:val="28"/>
          <w:szCs w:val="28"/>
        </w:rPr>
        <w:t>近年来，房地产企业、养老服务机构、保险机构与其他投资机构积极布局养老产业，涉及的内容包括养老住宅开发建设、养老服务运营、养老保险和理财产品、养老项目融资等多个方面。2015年-2016年，受国家养老产业政策推动，主流房企纷纷宣布进军养老地产领域。近两年来，由于各大房企养老产业商业模式尚不清晰，企业逐步回归理性。</w:t>
      </w:r>
    </w:p>
    <w:p w14:paraId="62677C52" w14:textId="742D8F14" w:rsidR="00EB15A2" w:rsidRPr="002A2DB5" w:rsidRDefault="00EB15A2" w:rsidP="00122C2C">
      <w:pPr>
        <w:pStyle w:val="a3"/>
        <w:numPr>
          <w:ilvl w:val="0"/>
          <w:numId w:val="13"/>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历年布局养老产业房企数量（家）</w:t>
      </w:r>
    </w:p>
    <w:p w14:paraId="1A209410" w14:textId="516BF8B9" w:rsidR="00EB15A2" w:rsidRPr="002A2DB5" w:rsidRDefault="00EB15A2"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3631BE01" wp14:editId="6F279FD9">
            <wp:extent cx="5270500" cy="3373755"/>
            <wp:effectExtent l="0" t="0" r="1270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屏幕快照 2019-10-30 下午12.26.59.png"/>
                    <pic:cNvPicPr/>
                  </pic:nvPicPr>
                  <pic:blipFill>
                    <a:blip r:embed="rId31">
                      <a:extLst>
                        <a:ext uri="{28A0092B-C50C-407E-A947-70E740481C1C}">
                          <a14:useLocalDpi xmlns:a14="http://schemas.microsoft.com/office/drawing/2010/main" val="0"/>
                        </a:ext>
                      </a:extLst>
                    </a:blip>
                    <a:stretch>
                      <a:fillRect/>
                    </a:stretch>
                  </pic:blipFill>
                  <pic:spPr>
                    <a:xfrm>
                      <a:off x="0" y="0"/>
                      <a:ext cx="5270500" cy="3373755"/>
                    </a:xfrm>
                    <a:prstGeom prst="rect">
                      <a:avLst/>
                    </a:prstGeom>
                  </pic:spPr>
                </pic:pic>
              </a:graphicData>
            </a:graphic>
          </wp:inline>
        </w:drawing>
      </w:r>
    </w:p>
    <w:p w14:paraId="73F409EC" w14:textId="6F724B64" w:rsidR="00EB15A2" w:rsidRPr="002A2DB5" w:rsidRDefault="00EB15A2" w:rsidP="00122C2C">
      <w:pPr>
        <w:pStyle w:val="a3"/>
        <w:numPr>
          <w:ilvl w:val="0"/>
          <w:numId w:val="13"/>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主要房企布局养老产业领域类型</w:t>
      </w:r>
    </w:p>
    <w:p w14:paraId="5E2C3E72" w14:textId="274BC341" w:rsidR="00EB15A2" w:rsidRPr="002A2DB5" w:rsidRDefault="00EB15A2"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lastRenderedPageBreak/>
        <w:drawing>
          <wp:inline distT="0" distB="0" distL="0" distR="0" wp14:anchorId="208E60E4" wp14:editId="3BD4E19D">
            <wp:extent cx="5270500" cy="3757930"/>
            <wp:effectExtent l="0" t="0" r="1270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屏幕快照 2019-10-30 下午12.27.11.png"/>
                    <pic:cNvPicPr/>
                  </pic:nvPicPr>
                  <pic:blipFill>
                    <a:blip r:embed="rId32">
                      <a:extLst>
                        <a:ext uri="{28A0092B-C50C-407E-A947-70E740481C1C}">
                          <a14:useLocalDpi xmlns:a14="http://schemas.microsoft.com/office/drawing/2010/main" val="0"/>
                        </a:ext>
                      </a:extLst>
                    </a:blip>
                    <a:stretch>
                      <a:fillRect/>
                    </a:stretch>
                  </pic:blipFill>
                  <pic:spPr>
                    <a:xfrm>
                      <a:off x="0" y="0"/>
                      <a:ext cx="5270500" cy="3757930"/>
                    </a:xfrm>
                    <a:prstGeom prst="rect">
                      <a:avLst/>
                    </a:prstGeom>
                  </pic:spPr>
                </pic:pic>
              </a:graphicData>
            </a:graphic>
          </wp:inline>
        </w:drawing>
      </w:r>
    </w:p>
    <w:p w14:paraId="7BA53BFC" w14:textId="6D137141" w:rsidR="004937E0" w:rsidRPr="002A2DB5" w:rsidRDefault="004937E0" w:rsidP="00122C2C">
      <w:pPr>
        <w:pStyle w:val="a3"/>
        <w:numPr>
          <w:ilvl w:val="0"/>
          <w:numId w:val="13"/>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国内部分</w:t>
      </w:r>
      <w:r w:rsidR="00197DED" w:rsidRPr="002A2DB5">
        <w:rPr>
          <w:rFonts w:ascii="FangSong" w:eastAsia="FangSong" w:hAnsi="FangSong" w:hint="eastAsia"/>
          <w:sz w:val="28"/>
          <w:szCs w:val="28"/>
        </w:rPr>
        <w:t>大型</w:t>
      </w:r>
      <w:r w:rsidR="00EB15A2" w:rsidRPr="002A2DB5">
        <w:rPr>
          <w:rFonts w:ascii="FangSong" w:eastAsia="FangSong" w:hAnsi="FangSong" w:hint="eastAsia"/>
          <w:sz w:val="28"/>
          <w:szCs w:val="28"/>
        </w:rPr>
        <w:t>房企布局养老产业关键时间点</w:t>
      </w:r>
    </w:p>
    <w:p w14:paraId="39B7F730" w14:textId="5845F286" w:rsidR="004937E0" w:rsidRPr="002A2DB5" w:rsidRDefault="004937E0" w:rsidP="002A2DB5">
      <w:pPr>
        <w:spacing w:line="360" w:lineRule="auto"/>
        <w:rPr>
          <w:rFonts w:ascii="FangSong" w:eastAsia="FangSong" w:hAnsi="FangSong"/>
          <w:sz w:val="28"/>
          <w:szCs w:val="28"/>
        </w:rPr>
      </w:pPr>
      <w:r w:rsidRPr="002A2DB5">
        <w:rPr>
          <w:rFonts w:ascii="FangSong" w:eastAsia="FangSong" w:hAnsi="FangSong" w:hint="eastAsia"/>
          <w:noProof/>
          <w:sz w:val="28"/>
          <w:szCs w:val="28"/>
        </w:rPr>
        <w:drawing>
          <wp:inline distT="0" distB="0" distL="0" distR="0" wp14:anchorId="0E75D54D" wp14:editId="06C3696B">
            <wp:extent cx="5270500" cy="2992120"/>
            <wp:effectExtent l="0" t="0" r="1270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屏幕快照 2019-10-29 下午10.19.21.png"/>
                    <pic:cNvPicPr/>
                  </pic:nvPicPr>
                  <pic:blipFill>
                    <a:blip r:embed="rId33">
                      <a:extLst>
                        <a:ext uri="{28A0092B-C50C-407E-A947-70E740481C1C}">
                          <a14:useLocalDpi xmlns:a14="http://schemas.microsoft.com/office/drawing/2010/main" val="0"/>
                        </a:ext>
                      </a:extLst>
                    </a:blip>
                    <a:stretch>
                      <a:fillRect/>
                    </a:stretch>
                  </pic:blipFill>
                  <pic:spPr>
                    <a:xfrm>
                      <a:off x="0" y="0"/>
                      <a:ext cx="5270500" cy="2992120"/>
                    </a:xfrm>
                    <a:prstGeom prst="rect">
                      <a:avLst/>
                    </a:prstGeom>
                  </pic:spPr>
                </pic:pic>
              </a:graphicData>
            </a:graphic>
          </wp:inline>
        </w:drawing>
      </w:r>
    </w:p>
    <w:p w14:paraId="33A45061" w14:textId="6FF4A8FB" w:rsidR="00197DED" w:rsidRPr="002A2DB5" w:rsidRDefault="00197DED" w:rsidP="002A2DB5">
      <w:pPr>
        <w:spacing w:line="360" w:lineRule="auto"/>
        <w:rPr>
          <w:rFonts w:ascii="FangSong" w:eastAsia="FangSong" w:hAnsi="FangSong"/>
          <w:sz w:val="28"/>
          <w:szCs w:val="28"/>
        </w:rPr>
      </w:pPr>
      <w:r w:rsidRPr="002A2DB5">
        <w:rPr>
          <w:rFonts w:ascii="FangSong" w:eastAsia="FangSong" w:hAnsi="FangSong" w:hint="eastAsia"/>
          <w:sz w:val="28"/>
          <w:szCs w:val="28"/>
        </w:rPr>
        <w:t>备注：资料来源</w:t>
      </w:r>
      <w:r w:rsidR="00EB15A2" w:rsidRPr="002A2DB5">
        <w:rPr>
          <w:rFonts w:ascii="FangSong" w:eastAsia="FangSong" w:hAnsi="FangSong" w:hint="eastAsia"/>
          <w:sz w:val="28"/>
          <w:szCs w:val="28"/>
        </w:rPr>
        <w:t>德勤、</w:t>
      </w:r>
      <w:r w:rsidRPr="002A2DB5">
        <w:rPr>
          <w:rFonts w:ascii="FangSong" w:eastAsia="FangSong" w:hAnsi="FangSong" w:hint="eastAsia"/>
          <w:sz w:val="28"/>
          <w:szCs w:val="28"/>
        </w:rPr>
        <w:t>AECOM、平安证券研究所</w:t>
      </w:r>
    </w:p>
    <w:p w14:paraId="78029DCE" w14:textId="1220BBC0" w:rsidR="00360885" w:rsidRPr="002A2DB5" w:rsidRDefault="00A547FE" w:rsidP="00122C2C">
      <w:pPr>
        <w:pStyle w:val="a3"/>
        <w:numPr>
          <w:ilvl w:val="0"/>
          <w:numId w:val="1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万科：率先试水养老产业，产品形态丰富</w:t>
      </w:r>
    </w:p>
    <w:p w14:paraId="52695AA2" w14:textId="77777777" w:rsidR="00ED1B6D" w:rsidRPr="002A2DB5" w:rsidRDefault="00ED1B6D" w:rsidP="002A2DB5">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t>万科2009年推出首个养老项目“随园嘉树”，2015年筹建养老</w:t>
      </w:r>
      <w:r w:rsidRPr="002A2DB5">
        <w:rPr>
          <w:rFonts w:ascii="FangSong" w:eastAsia="FangSong" w:hAnsi="FangSong" w:hint="eastAsia"/>
          <w:sz w:val="28"/>
          <w:szCs w:val="28"/>
        </w:rPr>
        <w:lastRenderedPageBreak/>
        <w:t>事业部，</w:t>
      </w:r>
    </w:p>
    <w:p w14:paraId="1F41ADDD" w14:textId="27ABC6D4" w:rsidR="00AF492A" w:rsidRPr="002A2DB5" w:rsidRDefault="00ED1B6D" w:rsidP="002A2DB5">
      <w:pPr>
        <w:spacing w:line="360" w:lineRule="auto"/>
        <w:rPr>
          <w:rFonts w:ascii="FangSong" w:eastAsia="FangSong" w:hAnsi="FangSong"/>
          <w:sz w:val="28"/>
          <w:szCs w:val="28"/>
        </w:rPr>
      </w:pPr>
      <w:r w:rsidRPr="002A2DB5">
        <w:rPr>
          <w:rFonts w:ascii="FangSong" w:eastAsia="FangSong" w:hAnsi="FangSong" w:hint="eastAsia"/>
          <w:sz w:val="28"/>
          <w:szCs w:val="28"/>
        </w:rPr>
        <w:t>积极联合险资机构及专业运营机构成立项目平台公司，以自持社区养老配套、租售并举等方式，积极投身养老产业。建立“3+N”养老产品体系：兼顾综合养老社区、嵌入式养老中心、养老公寓等产品形态，并配置专业医疗资源；退出“怡园、随园、嘉园+专业医疗机构”的养老产品体系，实现医养结合。同时补充公立医疗资源：一是2001年向深圳政府申请办医，2015年宣布将在广州、上海、深圳筹备建立三家儿童医院，以儿童医院切入医疗资源；二是布局先进临床医疗，上海万科儿童医院项目计划开设床位200张，于2018年正式动工。</w:t>
      </w:r>
    </w:p>
    <w:p w14:paraId="75993E65" w14:textId="486954C1" w:rsidR="00A547FE" w:rsidRPr="002A2DB5" w:rsidRDefault="00A547FE" w:rsidP="00122C2C">
      <w:pPr>
        <w:pStyle w:val="a3"/>
        <w:numPr>
          <w:ilvl w:val="0"/>
          <w:numId w:val="1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保利：多元化盈利模式，</w:t>
      </w:r>
      <w:r w:rsidR="000D1DA3" w:rsidRPr="002A2DB5">
        <w:rPr>
          <w:rFonts w:ascii="FangSong" w:eastAsia="FangSong" w:hAnsi="FangSong" w:hint="eastAsia"/>
          <w:sz w:val="28"/>
          <w:szCs w:val="28"/>
        </w:rPr>
        <w:t>引入险资探索养老新机遇</w:t>
      </w:r>
    </w:p>
    <w:p w14:paraId="5833A7A8" w14:textId="77777777" w:rsidR="00035B01" w:rsidRDefault="00ED1B6D" w:rsidP="00035B01">
      <w:pPr>
        <w:spacing w:line="360" w:lineRule="auto"/>
        <w:ind w:left="720"/>
        <w:rPr>
          <w:rFonts w:ascii="FangSong" w:eastAsia="FangSong" w:hAnsi="FangSong"/>
          <w:sz w:val="28"/>
          <w:szCs w:val="28"/>
        </w:rPr>
      </w:pPr>
      <w:r w:rsidRPr="002A2DB5">
        <w:rPr>
          <w:rFonts w:ascii="FangSong" w:eastAsia="FangSong" w:hAnsi="FangSong" w:hint="eastAsia"/>
          <w:sz w:val="28"/>
          <w:szCs w:val="28"/>
        </w:rPr>
        <w:t>保利地产积极涉足</w:t>
      </w:r>
      <w:r w:rsidR="001903BD" w:rsidRPr="002A2DB5">
        <w:rPr>
          <w:rFonts w:ascii="FangSong" w:eastAsia="FangSong" w:hAnsi="FangSong" w:hint="eastAsia"/>
          <w:sz w:val="28"/>
          <w:szCs w:val="28"/>
        </w:rPr>
        <w:t>养老产业，提出“全产业链介入，打造三位</w:t>
      </w:r>
    </w:p>
    <w:p w14:paraId="712EF3B5" w14:textId="50B3B3BE" w:rsidR="00AF492A" w:rsidRPr="002A2DB5" w:rsidRDefault="001903BD" w:rsidP="00035B01">
      <w:pPr>
        <w:spacing w:line="360" w:lineRule="auto"/>
        <w:rPr>
          <w:rFonts w:ascii="FangSong" w:eastAsia="FangSong" w:hAnsi="FangSong"/>
          <w:sz w:val="28"/>
          <w:szCs w:val="28"/>
        </w:rPr>
      </w:pPr>
      <w:r w:rsidRPr="002A2DB5">
        <w:rPr>
          <w:rFonts w:ascii="FangSong" w:eastAsia="FangSong" w:hAnsi="FangSong" w:hint="eastAsia"/>
          <w:sz w:val="28"/>
          <w:szCs w:val="28"/>
        </w:rPr>
        <w:t>一体中国式养老”的战略规划。以居家为基础，统一服务标准，以社区为依托，统一配套标准，以机构为支撑，统一专业标准，建成“三位一体”中国式养老模式，健全覆盖多层次养老需求的全面服务体系。养老产品体系分为：为中高收入活力老人提供自理型公寓产品；为刚性需求老年人群提供介护型机构及康复护理院服务产品。</w:t>
      </w:r>
    </w:p>
    <w:p w14:paraId="1859CF10" w14:textId="0403EEFD" w:rsidR="00AF492A" w:rsidRPr="002A2DB5" w:rsidRDefault="001903BD" w:rsidP="002A2DB5">
      <w:pPr>
        <w:spacing w:line="360" w:lineRule="auto"/>
        <w:rPr>
          <w:rFonts w:ascii="FangSong" w:eastAsia="FangSong" w:hAnsi="FangSong"/>
          <w:sz w:val="28"/>
          <w:szCs w:val="28"/>
        </w:rPr>
      </w:pPr>
      <w:r w:rsidRPr="002A2DB5">
        <w:rPr>
          <w:rFonts w:ascii="FangSong" w:eastAsia="FangSong" w:hAnsi="FangSong" w:hint="eastAsia"/>
          <w:sz w:val="28"/>
          <w:szCs w:val="28"/>
        </w:rPr>
        <w:t>并且自建社区养老机构品牌“和熹会”，实现专业服务与管理模式输出、和熹会产品覆盖中高端活力老年人去及介助，介护老年人群，采用会员制模式，实现资金快速回流，但尚未实现大规模复</w:t>
      </w:r>
      <w:r w:rsidRPr="002A2DB5">
        <w:rPr>
          <w:rFonts w:ascii="FangSong" w:eastAsia="FangSong" w:hAnsi="FangSong" w:hint="eastAsia"/>
          <w:sz w:val="28"/>
          <w:szCs w:val="28"/>
        </w:rPr>
        <w:lastRenderedPageBreak/>
        <w:t>制。同时，住宅销售收入与服务收入相互补充：社区养老部分，收取设施使用租赁费以及社区养老配套服务费，机构养老部分，收取专业介护服务费。短期内通过适老化住宅销售反哺产品研发、建设及改造；中长期通过提高配套服务水平实现规模化、网点化扩张，提高盈利水平。</w:t>
      </w:r>
    </w:p>
    <w:p w14:paraId="672B88B6" w14:textId="6EDA6C2A" w:rsidR="000D1DA3" w:rsidRPr="002A2DB5" w:rsidRDefault="004937E0" w:rsidP="00122C2C">
      <w:pPr>
        <w:pStyle w:val="a3"/>
        <w:numPr>
          <w:ilvl w:val="0"/>
          <w:numId w:val="1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恒大：多城市布局养老连锁品牌，成分积累医疗资源</w:t>
      </w:r>
    </w:p>
    <w:p w14:paraId="327E2F3B" w14:textId="77777777" w:rsidR="00035B01" w:rsidRDefault="001903BD" w:rsidP="00035B01">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t>恒大通过</w:t>
      </w:r>
      <w:r w:rsidR="0083449E" w:rsidRPr="002A2DB5">
        <w:rPr>
          <w:rFonts w:ascii="FangSong" w:eastAsia="FangSong" w:hAnsi="FangSong" w:hint="eastAsia"/>
          <w:sz w:val="28"/>
          <w:szCs w:val="28"/>
        </w:rPr>
        <w:t>并购韩国医美品牌原辰进入康养领域，后推出恒大健</w:t>
      </w:r>
    </w:p>
    <w:p w14:paraId="07234353" w14:textId="2DE6C207" w:rsidR="00AF492A" w:rsidRPr="00035B01" w:rsidRDefault="0083449E" w:rsidP="00035B01">
      <w:pPr>
        <w:spacing w:line="360" w:lineRule="auto"/>
        <w:rPr>
          <w:rFonts w:ascii="FangSong" w:eastAsia="FangSong" w:hAnsi="FangSong"/>
          <w:sz w:val="28"/>
          <w:szCs w:val="28"/>
        </w:rPr>
      </w:pPr>
      <w:r w:rsidRPr="00035B01">
        <w:rPr>
          <w:rFonts w:ascii="FangSong" w:eastAsia="FangSong" w:hAnsi="FangSong" w:hint="eastAsia"/>
          <w:sz w:val="28"/>
          <w:szCs w:val="28"/>
        </w:rPr>
        <w:t>康集团与美国布莱根和妇女医院（BWH）共建博鳌恒大国际医院，</w:t>
      </w:r>
      <w:r w:rsidR="002C0A29" w:rsidRPr="00035B01">
        <w:rPr>
          <w:rFonts w:ascii="FangSong" w:eastAsia="FangSong" w:hAnsi="FangSong" w:hint="eastAsia"/>
          <w:sz w:val="28"/>
          <w:szCs w:val="28"/>
        </w:rPr>
        <w:t>切入临床核心环节，旨在成为世界领先的肿瘤专家医院。同时重视医学人才储备，吸纳海内外超1000名主要研究学者，并投入超6.4亿美元临床研究经费。近年来，旗下恒大原辰医学美容医院2016年成立以来三年内实现年产值超100亿元。</w:t>
      </w:r>
    </w:p>
    <w:p w14:paraId="2A94F453" w14:textId="1FF48A80" w:rsidR="00011B45" w:rsidRPr="002A2DB5" w:rsidRDefault="004937E0" w:rsidP="00122C2C">
      <w:pPr>
        <w:pStyle w:val="a3"/>
        <w:numPr>
          <w:ilvl w:val="0"/>
          <w:numId w:val="12"/>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远洋：合作海外养老品牌，专注养老细分市场</w:t>
      </w:r>
    </w:p>
    <w:p w14:paraId="61999D74" w14:textId="77777777" w:rsidR="00035B01" w:rsidRDefault="00642CE2" w:rsidP="00035B01">
      <w:pPr>
        <w:pStyle w:val="a3"/>
        <w:spacing w:line="360" w:lineRule="auto"/>
        <w:ind w:left="720" w:firstLineChars="0" w:firstLine="0"/>
        <w:rPr>
          <w:rFonts w:ascii="FangSong" w:eastAsia="FangSong" w:hAnsi="FangSong"/>
          <w:sz w:val="28"/>
          <w:szCs w:val="28"/>
        </w:rPr>
      </w:pPr>
      <w:r w:rsidRPr="002A2DB5">
        <w:rPr>
          <w:rFonts w:ascii="FangSong" w:eastAsia="FangSong" w:hAnsi="FangSong" w:hint="eastAsia"/>
          <w:sz w:val="28"/>
          <w:szCs w:val="28"/>
        </w:rPr>
        <w:t>专注社区养老、机构养老、嵌入式养老等细分市场。与美国峰</w:t>
      </w:r>
    </w:p>
    <w:p w14:paraId="1594C7DB" w14:textId="5D3A56A9" w:rsidR="00642CE2" w:rsidRPr="00035B01" w:rsidRDefault="00642CE2" w:rsidP="00035B01">
      <w:pPr>
        <w:spacing w:line="360" w:lineRule="auto"/>
        <w:rPr>
          <w:rFonts w:ascii="FangSong" w:eastAsia="FangSong" w:hAnsi="FangSong"/>
          <w:sz w:val="28"/>
          <w:szCs w:val="28"/>
        </w:rPr>
      </w:pPr>
      <w:r w:rsidRPr="00035B01">
        <w:rPr>
          <w:rFonts w:ascii="FangSong" w:eastAsia="FangSong" w:hAnsi="FangSong" w:hint="eastAsia"/>
          <w:sz w:val="28"/>
          <w:szCs w:val="28"/>
        </w:rPr>
        <w:t>堡、养老运营商Meridian Senior Living深度合作，创建高端养老服务品牌“椿萱茂”，2013年起陆续在天津、成都、武汉等地落地。加入养老公寓、照护中心、长者社区等产品型态，满足细分市场需求。重点关注半护理服务机构，筛选现阶段具有盈利能力的养老机构作为潜在合作对象，主要在一线城市复制，扩张服务网点。充分利用社区资源，探索分级诊疗体系建设：2015年7月与翰思维康合资成立远洋健康、专注大健康产业的医疗投资管理。海医汇作</w:t>
      </w:r>
      <w:r w:rsidRPr="00035B01">
        <w:rPr>
          <w:rFonts w:ascii="FangSong" w:eastAsia="FangSong" w:hAnsi="FangSong" w:hint="eastAsia"/>
          <w:sz w:val="28"/>
          <w:szCs w:val="28"/>
        </w:rPr>
        <w:lastRenderedPageBreak/>
        <w:t>为远洋健康子品牌，致力于“诊所+医院”的民营医疗网络连锁机构建设。</w:t>
      </w:r>
    </w:p>
    <w:p w14:paraId="72A72FE6" w14:textId="14A06617" w:rsidR="007D6DFC" w:rsidRPr="002A2DB5" w:rsidRDefault="007D6DFC" w:rsidP="002A2DB5">
      <w:pPr>
        <w:pStyle w:val="2"/>
        <w:spacing w:line="360" w:lineRule="auto"/>
        <w:rPr>
          <w:rFonts w:ascii="FangSong" w:eastAsia="FangSong" w:hAnsi="FangSong"/>
        </w:rPr>
      </w:pPr>
      <w:bookmarkStart w:id="12" w:name="_Toc24893516"/>
      <w:r w:rsidRPr="002A2DB5">
        <w:rPr>
          <w:rFonts w:ascii="FangSong" w:eastAsia="FangSong" w:hAnsi="FangSong" w:hint="eastAsia"/>
        </w:rPr>
        <w:t>4.3天津市场分析</w:t>
      </w:r>
      <w:bookmarkEnd w:id="12"/>
    </w:p>
    <w:p w14:paraId="12E57E79" w14:textId="77777777" w:rsidR="007D6DFC" w:rsidRPr="002A2DB5" w:rsidRDefault="007D6DFC" w:rsidP="002A2DB5">
      <w:pPr>
        <w:spacing w:line="360" w:lineRule="auto"/>
        <w:rPr>
          <w:rFonts w:ascii="FangSong" w:eastAsia="FangSong" w:hAnsi="FangSong"/>
          <w:sz w:val="28"/>
          <w:szCs w:val="28"/>
        </w:rPr>
      </w:pPr>
      <w:r w:rsidRPr="002A2DB5">
        <w:rPr>
          <w:rFonts w:ascii="FangSong" w:eastAsia="FangSong" w:hAnsi="FangSong" w:hint="eastAsia"/>
          <w:sz w:val="28"/>
          <w:szCs w:val="28"/>
        </w:rPr>
        <w:t>1、天津人市人口分析</w:t>
      </w:r>
    </w:p>
    <w:p w14:paraId="09319B70" w14:textId="77777777" w:rsidR="007D6DFC" w:rsidRPr="002A2DB5" w:rsidRDefault="007D6DFC"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Pr="002A2DB5">
        <w:rPr>
          <w:rFonts w:ascii="FangSong" w:eastAsia="FangSong" w:hAnsi="FangSong"/>
          <w:sz w:val="28"/>
          <w:szCs w:val="28"/>
        </w:rPr>
        <w:t>根据年报数据，2018年年初，天津的常住人口达到了1556.87万人，但比较2017年初而言，减少了5.25万人。天津的常住人口中外来常住人口有498.23万人，比上年减少了9.31万人。城镇常住人口1291.11万人，城镇化率为82.93%，与上年持平。天津男性人口843.10万人，占比54.15%；女性713.77万人，占45.85%。性别比118.12。</w:t>
      </w:r>
    </w:p>
    <w:p w14:paraId="4F24C2FF" w14:textId="77777777" w:rsidR="007D6DFC" w:rsidRPr="002A2DB5" w:rsidRDefault="007D6DFC" w:rsidP="002A2DB5">
      <w:pPr>
        <w:spacing w:line="360" w:lineRule="auto"/>
        <w:rPr>
          <w:rFonts w:ascii="FangSong" w:eastAsia="FangSong" w:hAnsi="FangSong"/>
          <w:sz w:val="28"/>
          <w:szCs w:val="28"/>
        </w:rPr>
      </w:pPr>
      <w:r w:rsidRPr="002A2DB5">
        <w:rPr>
          <w:rFonts w:ascii="FangSong" w:eastAsia="FangSong" w:hAnsi="FangSong"/>
          <w:sz w:val="28"/>
          <w:szCs w:val="28"/>
        </w:rPr>
        <w:t xml:space="preserve">　  天津市全市常住人口出生率7.65‰，出生人口总量11.93万人，死亡率5.05‰，较上年下降0.49个千分点，死亡人口总量7.87万人。去年全市出生人口中二孩占比43.85%，同比明显提高。</w:t>
      </w:r>
    </w:p>
    <w:p w14:paraId="50598A07" w14:textId="77777777" w:rsidR="007D6DFC" w:rsidRPr="002A2DB5" w:rsidRDefault="007D6DFC" w:rsidP="002A2DB5">
      <w:pPr>
        <w:spacing w:line="360" w:lineRule="auto"/>
        <w:rPr>
          <w:rFonts w:ascii="FangSong" w:eastAsia="FangSong" w:hAnsi="FangSong"/>
          <w:sz w:val="28"/>
          <w:szCs w:val="28"/>
        </w:rPr>
      </w:pPr>
      <w:r w:rsidRPr="002A2DB5">
        <w:rPr>
          <w:rFonts w:ascii="FangSong" w:eastAsia="FangSong" w:hAnsi="FangSong"/>
          <w:sz w:val="28"/>
          <w:szCs w:val="28"/>
        </w:rPr>
        <w:t xml:space="preserve">    人口老龄化进程深入，天津市全市0—14岁常住人口总量为158.65万人，占比为10.19%；15—60岁为1116.50万人，占71.71%；60—64岁为124.05万人，占7.97%，65岁及以上为157.67万人，占10.13%。60岁以上的老年人281.72万人。</w:t>
      </w:r>
    </w:p>
    <w:p w14:paraId="1610FCC5" w14:textId="561FB892" w:rsidR="007D6DFC" w:rsidRPr="002A2DB5" w:rsidRDefault="007D6DFC" w:rsidP="002A2DB5">
      <w:pPr>
        <w:spacing w:line="360" w:lineRule="auto"/>
        <w:rPr>
          <w:rFonts w:ascii="FangSong" w:eastAsia="FangSong" w:hAnsi="FangSong"/>
          <w:sz w:val="28"/>
          <w:szCs w:val="28"/>
        </w:rPr>
      </w:pPr>
      <w:r w:rsidRPr="002A2DB5">
        <w:rPr>
          <w:rFonts w:ascii="FangSong" w:eastAsia="FangSong" w:hAnsi="FangSong" w:hint="eastAsia"/>
          <w:sz w:val="28"/>
          <w:szCs w:val="28"/>
        </w:rPr>
        <w:t>2、天津市养老机构</w:t>
      </w:r>
      <w:r w:rsidR="002C7ED6">
        <w:rPr>
          <w:rFonts w:ascii="FangSong" w:eastAsia="FangSong" w:hAnsi="FangSong" w:hint="eastAsia"/>
          <w:sz w:val="28"/>
          <w:szCs w:val="28"/>
        </w:rPr>
        <w:t>整体</w:t>
      </w:r>
      <w:r w:rsidRPr="002A2DB5">
        <w:rPr>
          <w:rFonts w:ascii="FangSong" w:eastAsia="FangSong" w:hAnsi="FangSong" w:hint="eastAsia"/>
          <w:sz w:val="28"/>
          <w:szCs w:val="28"/>
        </w:rPr>
        <w:t>现状</w:t>
      </w:r>
    </w:p>
    <w:p w14:paraId="24BDDD52" w14:textId="77777777" w:rsidR="007D6DFC" w:rsidRDefault="007D6DFC" w:rsidP="002A2DB5">
      <w:pPr>
        <w:spacing w:line="360" w:lineRule="auto"/>
        <w:rPr>
          <w:rFonts w:ascii="FangSong" w:eastAsia="FangSong" w:hAnsi="FangSong"/>
          <w:sz w:val="28"/>
          <w:szCs w:val="28"/>
        </w:rPr>
      </w:pPr>
      <w:r w:rsidRPr="002A2DB5">
        <w:rPr>
          <w:rFonts w:ascii="FangSong" w:eastAsia="FangSong" w:hAnsi="FangSong" w:hint="eastAsia"/>
          <w:sz w:val="28"/>
          <w:szCs w:val="28"/>
        </w:rPr>
        <w:t xml:space="preserve">   </w:t>
      </w:r>
      <w:r w:rsidRPr="002A2DB5">
        <w:rPr>
          <w:rFonts w:ascii="FangSong" w:eastAsia="FangSong" w:hAnsi="FangSong"/>
          <w:sz w:val="28"/>
          <w:szCs w:val="28"/>
        </w:rPr>
        <w:t>为缓解“一床难求”的现状，天津市近年来大力发展养老院建设，至2019年全市共有养老院335家，市级国办养老机构已达5</w:t>
      </w:r>
      <w:r w:rsidRPr="002A2DB5">
        <w:rPr>
          <w:rFonts w:ascii="FangSong" w:eastAsia="FangSong" w:hAnsi="FangSong"/>
          <w:sz w:val="28"/>
          <w:szCs w:val="28"/>
        </w:rPr>
        <w:lastRenderedPageBreak/>
        <w:t>家，共有床位2042张。分别是：位于南开区的第一老年公寓（300张床位）、第二老年公寓（850张床位）和第五老年公寓（148张床位）；位于河东区的第三老年公寓（269张床位）；位于红桥区的失智老人康复照料中心一期（300张床位）。其他养老机构330家，共有48024张床位。全市共有养老床位50066张。现全市已有的养老床位50066张，占60岁以上老年人的1.78%，天津市的养老床位严重不足。</w:t>
      </w:r>
    </w:p>
    <w:p w14:paraId="7066D090" w14:textId="2258A5E5" w:rsidR="002C7ED6" w:rsidRDefault="002C7ED6" w:rsidP="002C7ED6">
      <w:pPr>
        <w:spacing w:line="360" w:lineRule="auto"/>
        <w:rPr>
          <w:rFonts w:ascii="FangSong" w:eastAsia="FangSong" w:hAnsi="FangSong"/>
          <w:sz w:val="28"/>
          <w:szCs w:val="28"/>
        </w:rPr>
      </w:pPr>
      <w:r>
        <w:rPr>
          <w:rFonts w:ascii="FangSong" w:eastAsia="FangSong" w:hAnsi="FangSong" w:hint="eastAsia"/>
          <w:sz w:val="28"/>
          <w:szCs w:val="28"/>
        </w:rPr>
        <w:t>3、天津市养老市场格局</w:t>
      </w:r>
    </w:p>
    <w:p w14:paraId="3DE10075" w14:textId="12AE1873" w:rsidR="002C7ED6" w:rsidRDefault="002C7ED6" w:rsidP="002C7ED6">
      <w:pPr>
        <w:spacing w:line="360" w:lineRule="auto"/>
        <w:rPr>
          <w:rFonts w:ascii="FangSong" w:eastAsia="FangSong" w:hAnsi="FangSong"/>
          <w:sz w:val="28"/>
          <w:szCs w:val="28"/>
        </w:rPr>
      </w:pPr>
      <w:r>
        <w:rPr>
          <w:rFonts w:ascii="FangSong" w:eastAsia="FangSong" w:hAnsi="FangSong" w:hint="eastAsia"/>
          <w:sz w:val="28"/>
          <w:szCs w:val="28"/>
        </w:rPr>
        <w:t xml:space="preserve">   就养老行业而言，天津一直处于行业发展的前端，养老项目的数量仅次于上海（1000+）、北京（900+），国内排行第三；近三年、近一年呈现飞速增长的趋势。养老进入第二个五年（北上）主战场中，天津市京津冀下阶段市场的绝对看点。</w:t>
      </w:r>
    </w:p>
    <w:p w14:paraId="4E5E4C9E" w14:textId="5657F4CC" w:rsidR="002C7ED6" w:rsidRDefault="002C7ED6" w:rsidP="002C7ED6">
      <w:pPr>
        <w:spacing w:line="360" w:lineRule="auto"/>
        <w:rPr>
          <w:rFonts w:ascii="FangSong" w:eastAsia="FangSong" w:hAnsi="FangSong"/>
          <w:sz w:val="28"/>
          <w:szCs w:val="28"/>
        </w:rPr>
      </w:pPr>
      <w:r>
        <w:rPr>
          <w:rFonts w:ascii="FangSong" w:eastAsia="FangSong" w:hAnsi="FangSong" w:hint="eastAsia"/>
          <w:sz w:val="28"/>
          <w:szCs w:val="28"/>
        </w:rPr>
        <w:t xml:space="preserve">   首先，“市队”（国企）参与度十分高，雲杉镇、康宁津园、泰达国际养老院在养老前五中都交出了漂亮的成绩单；建院66年天津市养老院更是将天津养老服务行业灵魂做了全面诠释，建校35年的天津市老年人大学更是国内老年教育行业的楷模。综上所述，</w:t>
      </w:r>
      <w:r w:rsidRPr="00C02E13">
        <w:rPr>
          <w:rFonts w:ascii="FangSong" w:eastAsia="FangSong" w:hAnsi="FangSong" w:hint="eastAsia"/>
          <w:sz w:val="28"/>
          <w:szCs w:val="28"/>
        </w:rPr>
        <w:t>有市场基础、有服务力沉淀、有大批活跃，开发的客户</w:t>
      </w:r>
      <w:r w:rsidR="00A4195F" w:rsidRPr="00C02E13">
        <w:rPr>
          <w:rFonts w:ascii="FangSong" w:eastAsia="FangSong" w:hAnsi="FangSong" w:hint="eastAsia"/>
          <w:sz w:val="28"/>
          <w:szCs w:val="28"/>
        </w:rPr>
        <w:t>，天津有适宜发展养老事业的“土壤”</w:t>
      </w:r>
      <w:r w:rsidR="00C02E13">
        <w:rPr>
          <w:rFonts w:ascii="FangSong" w:eastAsia="FangSong" w:hAnsi="FangSong" w:hint="eastAsia"/>
          <w:sz w:val="28"/>
          <w:szCs w:val="28"/>
        </w:rPr>
        <w:t>。其次，以龙福宫、鸿泰乐尔之家为代表的区域龙头企业也顺利通过养老第一个市场周期的考验，完成1.0阶段的规模扩张、完成了1.0阶段的服务力建设；养老第二个五年，区域企业龙头进入快速发展期，也是“老品牌”的升级转型周期。</w:t>
      </w:r>
      <w:r w:rsidR="00C02E13">
        <w:rPr>
          <w:rFonts w:ascii="FangSong" w:eastAsia="FangSong" w:hAnsi="FangSong" w:hint="eastAsia"/>
          <w:sz w:val="28"/>
          <w:szCs w:val="28"/>
        </w:rPr>
        <w:lastRenderedPageBreak/>
        <w:t>第三，天津作为养老第二个五年，第二战场的核心区，将来是一流企业，新兴企业积极布局的中心所在，MSC中福、远洋椿萱茂、万怡养老、国寿、中海、中海油等实力企业均已入场，完成初步局部，未来将有更多企业加入进去。</w:t>
      </w:r>
    </w:p>
    <w:p w14:paraId="19F89487" w14:textId="44DB80F7" w:rsidR="002C7ED6" w:rsidRPr="002A2DB5" w:rsidRDefault="00C02E13" w:rsidP="002A2DB5">
      <w:pPr>
        <w:spacing w:line="360" w:lineRule="auto"/>
        <w:rPr>
          <w:rFonts w:ascii="FangSong" w:eastAsia="FangSong" w:hAnsi="FangSong"/>
          <w:sz w:val="28"/>
          <w:szCs w:val="28"/>
        </w:rPr>
      </w:pPr>
      <w:r>
        <w:rPr>
          <w:rFonts w:ascii="FangSong" w:eastAsia="FangSong" w:hAnsi="FangSong"/>
          <w:noProof/>
          <w:sz w:val="28"/>
          <w:szCs w:val="28"/>
        </w:rPr>
        <w:drawing>
          <wp:inline distT="0" distB="0" distL="0" distR="0" wp14:anchorId="63B7B935" wp14:editId="140953AB">
            <wp:extent cx="5270500" cy="2447925"/>
            <wp:effectExtent l="0" t="0" r="1270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chatIMG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0500" cy="2447925"/>
                    </a:xfrm>
                    <a:prstGeom prst="rect">
                      <a:avLst/>
                    </a:prstGeom>
                  </pic:spPr>
                </pic:pic>
              </a:graphicData>
            </a:graphic>
          </wp:inline>
        </w:drawing>
      </w:r>
    </w:p>
    <w:p w14:paraId="1740D5B5" w14:textId="48D2E464" w:rsidR="001147D6" w:rsidRPr="002A2DB5" w:rsidRDefault="00B63664" w:rsidP="002A2DB5">
      <w:pPr>
        <w:pStyle w:val="1"/>
        <w:spacing w:line="360" w:lineRule="auto"/>
        <w:rPr>
          <w:rFonts w:ascii="FangSong" w:eastAsia="FangSong" w:hAnsi="FangSong"/>
        </w:rPr>
      </w:pPr>
      <w:bookmarkStart w:id="13" w:name="_Toc24893517"/>
      <w:r w:rsidRPr="002A2DB5">
        <w:rPr>
          <w:rFonts w:ascii="FangSong" w:eastAsia="FangSong" w:hAnsi="FangSong" w:hint="eastAsia"/>
        </w:rPr>
        <w:t>五、</w:t>
      </w:r>
      <w:r w:rsidR="00290CE5" w:rsidRPr="002A2DB5">
        <w:rPr>
          <w:rFonts w:ascii="FangSong" w:eastAsia="FangSong" w:hAnsi="FangSong" w:hint="eastAsia"/>
        </w:rPr>
        <w:t>项目定位</w:t>
      </w:r>
      <w:bookmarkEnd w:id="13"/>
    </w:p>
    <w:p w14:paraId="3ACFAB24" w14:textId="44479DFA" w:rsidR="00B82839" w:rsidRPr="002A2DB5" w:rsidRDefault="003A17BB" w:rsidP="002A2DB5">
      <w:pPr>
        <w:pStyle w:val="2"/>
        <w:spacing w:line="360" w:lineRule="auto"/>
        <w:rPr>
          <w:rFonts w:ascii="FangSong" w:eastAsia="FangSong" w:hAnsi="FangSong"/>
        </w:rPr>
      </w:pPr>
      <w:bookmarkStart w:id="14" w:name="_Toc24893518"/>
      <w:r w:rsidRPr="002A2DB5">
        <w:rPr>
          <w:rFonts w:ascii="FangSong" w:eastAsia="FangSong" w:hAnsi="FangSong" w:hint="eastAsia"/>
        </w:rPr>
        <w:t>5.1</w:t>
      </w:r>
      <w:r w:rsidR="00642C44" w:rsidRPr="002A2DB5">
        <w:rPr>
          <w:rFonts w:ascii="FangSong" w:eastAsia="FangSong" w:hAnsi="FangSong" w:hint="eastAsia"/>
        </w:rPr>
        <w:t>总体定位</w:t>
      </w:r>
      <w:bookmarkEnd w:id="14"/>
    </w:p>
    <w:p w14:paraId="31F7D051" w14:textId="6A365697" w:rsidR="00B82839" w:rsidRPr="002A2DB5" w:rsidRDefault="00B82839" w:rsidP="002A2DB5">
      <w:pPr>
        <w:spacing w:line="360" w:lineRule="auto"/>
        <w:ind w:firstLine="560"/>
        <w:rPr>
          <w:rFonts w:ascii="FangSong" w:eastAsia="FangSong" w:hAnsi="FangSong"/>
          <w:sz w:val="28"/>
          <w:szCs w:val="28"/>
        </w:rPr>
      </w:pPr>
      <w:r w:rsidRPr="002A2DB5">
        <w:rPr>
          <w:rFonts w:ascii="FangSong" w:eastAsia="FangSong" w:hAnsi="FangSong" w:hint="eastAsia"/>
          <w:sz w:val="28"/>
          <w:szCs w:val="28"/>
        </w:rPr>
        <w:t>经调研，“金岸康城”项目业态确定了以“大学城、教师村”为依托；以“中心城区、滨海新区”为资源，集“康乐中心、商贸娱乐、青年创业”于一体的综合性新型经济区的总体目标。同时，借鉴上海自贸区建设所形成的新格局与影响力，在筹划运作“综合商贸及创意产业”两板块中，要做足两方面的文章。一是，用足用好政策，以国家现有政策为依据，努力争取地方政策、制度的倾斜及各政府职能部门的鼎力支持：二是，做好全面、详细的市场调研摸底工作，找准方向确定目标，做高质量的招商引进工作。注重吸</w:t>
      </w:r>
      <w:r w:rsidRPr="002A2DB5">
        <w:rPr>
          <w:rFonts w:ascii="FangSong" w:eastAsia="FangSong" w:hAnsi="FangSong" w:hint="eastAsia"/>
          <w:sz w:val="28"/>
          <w:szCs w:val="28"/>
        </w:rPr>
        <w:lastRenderedPageBreak/>
        <w:t>引那些科技含量高，市场前景充裕，生态低碳环保，性价比较高，可持续发展，有一定竞争优势的名品、名企进驻。</w:t>
      </w:r>
    </w:p>
    <w:p w14:paraId="3E49190B" w14:textId="02618E10" w:rsidR="00C62A9C" w:rsidRPr="00035B01" w:rsidRDefault="00035B01" w:rsidP="00035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B82839" w:rsidRPr="00035B01">
        <w:rPr>
          <w:rFonts w:ascii="FangSong" w:eastAsia="FangSong" w:hAnsi="FangSong" w:hint="eastAsia"/>
          <w:sz w:val="28"/>
          <w:szCs w:val="28"/>
        </w:rPr>
        <w:t>项目定位为中国最高端的康养社区。</w:t>
      </w:r>
      <w:r w:rsidR="0006148D" w:rsidRPr="00035B01">
        <w:rPr>
          <w:rFonts w:ascii="FangSong" w:eastAsia="FangSong" w:hAnsi="FangSong" w:hint="eastAsia"/>
          <w:sz w:val="28"/>
          <w:szCs w:val="28"/>
        </w:rPr>
        <w:t>主要具备八</w:t>
      </w:r>
      <w:r w:rsidR="00D43D17" w:rsidRPr="00035B01">
        <w:rPr>
          <w:rFonts w:ascii="FangSong" w:eastAsia="FangSong" w:hAnsi="FangSong" w:hint="eastAsia"/>
          <w:sz w:val="28"/>
          <w:szCs w:val="28"/>
        </w:rPr>
        <w:t>点核心竞争力：</w:t>
      </w:r>
    </w:p>
    <w:p w14:paraId="407BA6CF" w14:textId="40CD150A" w:rsidR="005D5FC1" w:rsidRPr="005D5FC1" w:rsidRDefault="00D43D17"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设计</w:t>
      </w:r>
      <w:r w:rsidR="006E4146" w:rsidRPr="005D5FC1">
        <w:rPr>
          <w:rFonts w:ascii="FangSong" w:eastAsia="FangSong" w:hAnsi="FangSong" w:hint="eastAsia"/>
          <w:sz w:val="28"/>
          <w:szCs w:val="28"/>
        </w:rPr>
        <w:t>规划</w:t>
      </w:r>
      <w:r w:rsidRPr="005D5FC1">
        <w:rPr>
          <w:rFonts w:ascii="FangSong" w:eastAsia="FangSong" w:hAnsi="FangSong" w:hint="eastAsia"/>
          <w:sz w:val="28"/>
          <w:szCs w:val="28"/>
        </w:rPr>
        <w:t>：</w:t>
      </w:r>
    </w:p>
    <w:p w14:paraId="16B6F2DD" w14:textId="46C3F2F4" w:rsidR="005D5FC1"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C62A9C" w:rsidRPr="005D5FC1">
        <w:rPr>
          <w:rFonts w:ascii="FangSong" w:eastAsia="FangSong" w:hAnsi="FangSong" w:hint="eastAsia"/>
          <w:sz w:val="28"/>
          <w:szCs w:val="28"/>
        </w:rPr>
        <w:t>由全球最著名的建筑设计事务所</w:t>
      </w:r>
      <w:r w:rsidR="00C62A9C" w:rsidRPr="005D5FC1">
        <w:rPr>
          <w:rFonts w:ascii="FangSong" w:eastAsia="FangSong" w:hAnsi="FangSong"/>
          <w:sz w:val="28"/>
          <w:szCs w:val="28"/>
        </w:rPr>
        <w:t>Gensler</w:t>
      </w:r>
      <w:r w:rsidR="00D43D17" w:rsidRPr="005D5FC1">
        <w:rPr>
          <w:rFonts w:ascii="FangSong" w:eastAsia="FangSong" w:hAnsi="FangSong" w:hint="eastAsia"/>
          <w:sz w:val="28"/>
          <w:szCs w:val="28"/>
        </w:rPr>
        <w:t>提供全案设计（包括规</w:t>
      </w:r>
    </w:p>
    <w:p w14:paraId="3569B065" w14:textId="61BBD94B" w:rsidR="005D5FC1" w:rsidRDefault="00D43D17"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划和建筑）；</w:t>
      </w:r>
      <w:r w:rsidRPr="005D5FC1">
        <w:rPr>
          <w:rFonts w:ascii="FangSong" w:eastAsia="FangSong" w:hAnsi="FangSong"/>
          <w:sz w:val="28"/>
          <w:szCs w:val="28"/>
        </w:rPr>
        <w:t>拟由”神之手”－全球最具人性精神的日本室内</w:t>
      </w:r>
      <w:r w:rsidR="005D5FC1">
        <w:rPr>
          <w:rFonts w:ascii="FangSong" w:eastAsia="FangSong" w:hAnsi="FangSong" w:hint="eastAsia"/>
          <w:sz w:val="28"/>
          <w:szCs w:val="28"/>
        </w:rPr>
        <w:t xml:space="preserve">     </w:t>
      </w:r>
    </w:p>
    <w:p w14:paraId="191F6A35" w14:textId="32A0E69D" w:rsidR="00C62A9C" w:rsidRPr="005D5FC1" w:rsidRDefault="00D43D17"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sz w:val="28"/>
          <w:szCs w:val="28"/>
        </w:rPr>
        <w:t>设计大师本间贵史作为老年公寓的设计师；</w:t>
      </w:r>
    </w:p>
    <w:p w14:paraId="5C6BF989" w14:textId="7B42B973" w:rsidR="005D5FC1" w:rsidRPr="005D5FC1" w:rsidRDefault="00D43D17"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医养合作：</w:t>
      </w:r>
    </w:p>
    <w:p w14:paraId="548E1DCE" w14:textId="6B16C758" w:rsidR="005D5FC1" w:rsidRDefault="00D43D17"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正在与全球唯一拥有鲜活细胞疗法技术的维拉美迪卡医院洽谈</w:t>
      </w:r>
      <w:r w:rsidR="005D5FC1">
        <w:rPr>
          <w:rFonts w:ascii="FangSong" w:eastAsia="FangSong" w:hAnsi="FangSong" w:hint="eastAsia"/>
          <w:sz w:val="28"/>
          <w:szCs w:val="28"/>
        </w:rPr>
        <w:t xml:space="preserve">    </w:t>
      </w:r>
    </w:p>
    <w:p w14:paraId="4BE37927" w14:textId="77777777" w:rsidR="005D5FC1" w:rsidRDefault="00D43D17"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筹建亚洲唯一分院；</w:t>
      </w:r>
      <w:r w:rsidR="00C62A9C" w:rsidRPr="005D5FC1">
        <w:rPr>
          <w:rFonts w:ascii="FangSong" w:eastAsia="FangSong" w:hAnsi="FangSong" w:hint="eastAsia"/>
          <w:sz w:val="28"/>
          <w:szCs w:val="28"/>
        </w:rPr>
        <w:t>拟与全球最著名的老年病医院克利夫兰医</w:t>
      </w:r>
      <w:r w:rsidR="005D5FC1">
        <w:rPr>
          <w:rFonts w:ascii="FangSong" w:eastAsia="FangSong" w:hAnsi="FangSong" w:hint="eastAsia"/>
          <w:sz w:val="28"/>
          <w:szCs w:val="28"/>
        </w:rPr>
        <w:t xml:space="preserve">     </w:t>
      </w:r>
    </w:p>
    <w:p w14:paraId="0F977FD8" w14:textId="70AB9DDD" w:rsidR="005D5FC1" w:rsidRDefault="00C62A9C"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学中心（心脑血管治疗世</w:t>
      </w:r>
      <w:r w:rsidR="00D43D17" w:rsidRPr="005D5FC1">
        <w:rPr>
          <w:rFonts w:ascii="FangSong" w:eastAsia="FangSong" w:hAnsi="FangSong" w:hint="eastAsia"/>
          <w:sz w:val="28"/>
          <w:szCs w:val="28"/>
        </w:rPr>
        <w:t>界第一）、霍普金斯医学中心（神经</w:t>
      </w:r>
    </w:p>
    <w:p w14:paraId="653A224F" w14:textId="02D4192E" w:rsidR="00C62A9C"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D43D17" w:rsidRPr="005D5FC1">
        <w:rPr>
          <w:rFonts w:ascii="FangSong" w:eastAsia="FangSong" w:hAnsi="FangSong" w:hint="eastAsia"/>
          <w:sz w:val="28"/>
          <w:szCs w:val="28"/>
        </w:rPr>
        <w:t>专科世界第一）合建中国唯一分院；</w:t>
      </w:r>
    </w:p>
    <w:p w14:paraId="4E07B6D9" w14:textId="754F6C2C" w:rsidR="005D5FC1" w:rsidRPr="005D5FC1" w:rsidRDefault="00D43D17"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政企合作：</w:t>
      </w:r>
    </w:p>
    <w:p w14:paraId="30C50DDB" w14:textId="3945FBA9"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拟与中央和国家机关老干部中心共建中央和国家机关老干部养</w:t>
      </w:r>
    </w:p>
    <w:p w14:paraId="4CD451E5" w14:textId="77777777"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老示范基地。政府给与项目配套绿地300亩，将建成园林、观</w:t>
      </w:r>
    </w:p>
    <w:p w14:paraId="2C1C994B" w14:textId="7D9BA6E8" w:rsidR="00C62A9C"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光、休闲花园，将成为项目一道独特的风景线；</w:t>
      </w:r>
    </w:p>
    <w:p w14:paraId="1C3CE330" w14:textId="6108D8CA" w:rsidR="005D5FC1" w:rsidRPr="005D5FC1" w:rsidRDefault="006E4146"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营销推广：</w:t>
      </w:r>
    </w:p>
    <w:p w14:paraId="0766B77C" w14:textId="482DFA82" w:rsidR="005D5FC1" w:rsidRDefault="00C62A9C"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公司董事长是国际总裁联盟创始人，拥有几十家世界五百强</w:t>
      </w:r>
      <w:r w:rsidR="005D5FC1">
        <w:rPr>
          <w:rFonts w:ascii="FangSong" w:eastAsia="FangSong" w:hAnsi="FangSong" w:hint="eastAsia"/>
          <w:sz w:val="28"/>
          <w:szCs w:val="28"/>
        </w:rPr>
        <w:t xml:space="preserve">    </w:t>
      </w:r>
    </w:p>
    <w:p w14:paraId="26F018AE" w14:textId="77777777" w:rsidR="005D5FC1" w:rsidRDefault="00C62A9C"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（纯外籍）企业资源，与国际上多家著名</w:t>
      </w:r>
      <w:r w:rsidRPr="005D5FC1">
        <w:rPr>
          <w:rFonts w:ascii="FangSong" w:eastAsia="FangSong" w:hAnsi="FangSong"/>
          <w:sz w:val="28"/>
          <w:szCs w:val="28"/>
        </w:rPr>
        <w:t>NJO</w:t>
      </w:r>
      <w:r w:rsidRPr="005D5FC1">
        <w:rPr>
          <w:rFonts w:ascii="FangSong" w:eastAsia="FangSong" w:hAnsi="FangSong" w:hint="eastAsia"/>
          <w:sz w:val="28"/>
          <w:szCs w:val="28"/>
        </w:rPr>
        <w:t>保持良好的合作关</w:t>
      </w:r>
      <w:r w:rsidR="005D5FC1">
        <w:rPr>
          <w:rFonts w:ascii="FangSong" w:eastAsia="FangSong" w:hAnsi="FangSong" w:hint="eastAsia"/>
          <w:sz w:val="28"/>
          <w:szCs w:val="28"/>
        </w:rPr>
        <w:t xml:space="preserve">  </w:t>
      </w:r>
    </w:p>
    <w:p w14:paraId="33ACD597" w14:textId="63EFA1AD" w:rsidR="006E4146" w:rsidRPr="005D5FC1" w:rsidRDefault="00C62A9C"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系，也是华人财富</w:t>
      </w:r>
      <w:r w:rsidRPr="005D5FC1">
        <w:rPr>
          <w:rFonts w:ascii="FangSong" w:eastAsia="FangSong" w:hAnsi="FangSong"/>
          <w:sz w:val="28"/>
          <w:szCs w:val="28"/>
        </w:rPr>
        <w:t>500</w:t>
      </w:r>
      <w:r w:rsidRPr="005D5FC1">
        <w:rPr>
          <w:rFonts w:ascii="FangSong" w:eastAsia="FangSong" w:hAnsi="FangSong" w:hint="eastAsia"/>
          <w:sz w:val="28"/>
          <w:szCs w:val="28"/>
        </w:rPr>
        <w:t>强的主要领袖之一</w:t>
      </w:r>
      <w:r w:rsidR="006E4146" w:rsidRPr="005D5FC1">
        <w:rPr>
          <w:rFonts w:ascii="FangSong" w:eastAsia="FangSong" w:hAnsi="FangSong" w:hint="eastAsia"/>
          <w:sz w:val="28"/>
          <w:szCs w:val="28"/>
        </w:rPr>
        <w:t>；</w:t>
      </w:r>
    </w:p>
    <w:p w14:paraId="0CA061E8" w14:textId="30020C7A" w:rsidR="005D5FC1" w:rsidRPr="00597F58" w:rsidRDefault="00C00CEE" w:rsidP="00597F58">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97F58">
        <w:rPr>
          <w:rFonts w:ascii="FangSong" w:eastAsia="FangSong" w:hAnsi="FangSong" w:hint="eastAsia"/>
          <w:sz w:val="28"/>
          <w:szCs w:val="28"/>
        </w:rPr>
        <w:lastRenderedPageBreak/>
        <w:t>智慧养老</w:t>
      </w:r>
      <w:r w:rsidR="006E4146" w:rsidRPr="00597F58">
        <w:rPr>
          <w:rFonts w:ascii="FangSong" w:eastAsia="FangSong" w:hAnsi="FangSong" w:hint="eastAsia"/>
          <w:sz w:val="28"/>
          <w:szCs w:val="28"/>
        </w:rPr>
        <w:t>：</w:t>
      </w:r>
    </w:p>
    <w:p w14:paraId="19EE8A20" w14:textId="7957FE42"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率先实现5G时代的互联网和物联网交汇互动，通过智慧互联，</w:t>
      </w:r>
    </w:p>
    <w:p w14:paraId="3FC223E3" w14:textId="77777777"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将突破地域限制，将老人信息、社会资源、需求匹配等全部集</w:t>
      </w:r>
    </w:p>
    <w:p w14:paraId="6DA5C20B" w14:textId="77777777"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中在平台上，利用健康大数据直接联通专业医疗机构等各种智</w:t>
      </w:r>
    </w:p>
    <w:p w14:paraId="5936FB4C" w14:textId="19708CB1" w:rsidR="00597F58" w:rsidRPr="00597F58" w:rsidRDefault="00597F58" w:rsidP="0059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color w:val="FF0000"/>
          <w:sz w:val="28"/>
          <w:szCs w:val="28"/>
        </w:rPr>
      </w:pPr>
      <w:r w:rsidRPr="00597F58">
        <w:rPr>
          <w:rFonts w:ascii="FangSong" w:eastAsia="FangSong" w:hAnsi="FangSong"/>
          <w:color w:val="FF0000"/>
          <w:sz w:val="28"/>
          <w:szCs w:val="28"/>
        </w:rPr>
        <w:t>能化系统和产品给老年人提供全方位个性化的服务</w:t>
      </w:r>
      <w:r>
        <w:rPr>
          <w:rFonts w:ascii="FangSong" w:eastAsia="FangSong" w:hAnsi="FangSong"/>
          <w:color w:val="FF0000"/>
          <w:sz w:val="28"/>
          <w:szCs w:val="28"/>
        </w:rPr>
        <w:t>；</w:t>
      </w:r>
    </w:p>
    <w:p w14:paraId="7629837B" w14:textId="48A44E24" w:rsidR="005D5FC1" w:rsidRPr="005D5FC1" w:rsidRDefault="006E4146"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中医结合：</w:t>
      </w:r>
    </w:p>
    <w:p w14:paraId="6713CC8B" w14:textId="7C483DD4" w:rsidR="005D5FC1"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6E4146" w:rsidRPr="005D5FC1">
        <w:rPr>
          <w:rFonts w:ascii="FangSong" w:eastAsia="FangSong" w:hAnsi="FangSong" w:hint="eastAsia"/>
          <w:sz w:val="28"/>
          <w:szCs w:val="28"/>
        </w:rPr>
        <w:t>独家引入已被全球公认的古中医疗养项目（盛于明朝，国内已</w:t>
      </w:r>
    </w:p>
    <w:p w14:paraId="12106389" w14:textId="0A8EA095" w:rsidR="00C62A9C"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6E4146" w:rsidRPr="005D5FC1">
        <w:rPr>
          <w:rFonts w:ascii="FangSong" w:eastAsia="FangSong" w:hAnsi="FangSong" w:hint="eastAsia"/>
          <w:sz w:val="28"/>
          <w:szCs w:val="28"/>
        </w:rPr>
        <w:t>失传）的“</w:t>
      </w:r>
      <w:r w:rsidR="00C62A9C" w:rsidRPr="005D5FC1">
        <w:rPr>
          <w:rFonts w:ascii="FangSong" w:eastAsia="FangSong" w:hAnsi="FangSong" w:hint="eastAsia"/>
          <w:sz w:val="28"/>
          <w:szCs w:val="28"/>
        </w:rPr>
        <w:t>泰国稻香村</w:t>
      </w:r>
      <w:r w:rsidR="006E4146" w:rsidRPr="005D5FC1">
        <w:rPr>
          <w:rFonts w:ascii="FangSong" w:eastAsia="FangSong" w:hAnsi="FangSong" w:hint="eastAsia"/>
          <w:sz w:val="28"/>
          <w:szCs w:val="28"/>
        </w:rPr>
        <w:t>”品牌；</w:t>
      </w:r>
    </w:p>
    <w:p w14:paraId="4AE10734" w14:textId="2AD96814" w:rsidR="005D5FC1" w:rsidRPr="005D5FC1" w:rsidRDefault="006E4146"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会所服务：</w:t>
      </w:r>
    </w:p>
    <w:p w14:paraId="719F329E" w14:textId="7508DC21" w:rsidR="005D5FC1"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6E4146" w:rsidRPr="005D5FC1">
        <w:rPr>
          <w:rFonts w:ascii="FangSong" w:eastAsia="FangSong" w:hAnsi="FangSong" w:hint="eastAsia"/>
          <w:sz w:val="28"/>
          <w:szCs w:val="28"/>
        </w:rPr>
        <w:t>打造最高端，最人性，最舒适，最安逸的养生及商务会所，扶</w:t>
      </w:r>
    </w:p>
    <w:p w14:paraId="1B17A593" w14:textId="7689E8B9" w:rsidR="005D5FC1" w:rsidRDefault="006E4146"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老携幼，安享天伦的同时亦可指点江山，打理分布在世界各地</w:t>
      </w:r>
    </w:p>
    <w:p w14:paraId="19C7383E" w14:textId="7537BE3C" w:rsidR="00C62A9C" w:rsidRPr="005D5FC1" w:rsidRDefault="006E4146"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0"/>
        <w:rPr>
          <w:rFonts w:ascii="FangSong" w:eastAsia="FangSong" w:hAnsi="FangSong"/>
          <w:sz w:val="28"/>
          <w:szCs w:val="28"/>
        </w:rPr>
      </w:pPr>
      <w:r w:rsidRPr="005D5FC1">
        <w:rPr>
          <w:rFonts w:ascii="FangSong" w:eastAsia="FangSong" w:hAnsi="FangSong" w:hint="eastAsia"/>
          <w:sz w:val="28"/>
          <w:szCs w:val="28"/>
        </w:rPr>
        <w:t>的生意；</w:t>
      </w:r>
    </w:p>
    <w:p w14:paraId="6166ECF6" w14:textId="69A9AF48" w:rsidR="005D5FC1" w:rsidRPr="005D5FC1" w:rsidRDefault="006E4146" w:rsidP="00122C2C">
      <w:pPr>
        <w:pStyle w:val="a3"/>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rPr>
          <w:rFonts w:ascii="FangSong" w:eastAsia="FangSong" w:hAnsi="FangSong"/>
          <w:sz w:val="28"/>
          <w:szCs w:val="28"/>
        </w:rPr>
      </w:pPr>
      <w:r w:rsidRPr="005D5FC1">
        <w:rPr>
          <w:rFonts w:ascii="FangSong" w:eastAsia="FangSong" w:hAnsi="FangSong" w:hint="eastAsia"/>
          <w:sz w:val="28"/>
          <w:szCs w:val="28"/>
        </w:rPr>
        <w:t>教育配套：</w:t>
      </w:r>
    </w:p>
    <w:p w14:paraId="619A8ADF" w14:textId="75D8A481" w:rsidR="005D5FC1"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6E4146" w:rsidRPr="005D5FC1">
        <w:rPr>
          <w:rFonts w:ascii="FangSong" w:eastAsia="FangSong" w:hAnsi="FangSong" w:hint="eastAsia"/>
          <w:sz w:val="28"/>
          <w:szCs w:val="28"/>
        </w:rPr>
        <w:t>为需要不断学习以及具备兴趣爱好提供场所，配备</w:t>
      </w:r>
      <w:r w:rsidR="00C62A9C" w:rsidRPr="005D5FC1">
        <w:rPr>
          <w:rFonts w:ascii="FangSong" w:eastAsia="FangSong" w:hAnsi="FangSong" w:hint="eastAsia"/>
          <w:sz w:val="28"/>
          <w:szCs w:val="28"/>
        </w:rPr>
        <w:t>完善的老年</w:t>
      </w:r>
    </w:p>
    <w:p w14:paraId="6BC22005" w14:textId="7D0A009D" w:rsidR="00C62A9C" w:rsidRPr="005D5FC1" w:rsidRDefault="005D5FC1" w:rsidP="005D5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sz w:val="28"/>
          <w:szCs w:val="28"/>
        </w:rPr>
      </w:pPr>
      <w:r>
        <w:rPr>
          <w:rFonts w:ascii="FangSong" w:eastAsia="FangSong" w:hAnsi="FangSong" w:hint="eastAsia"/>
          <w:sz w:val="28"/>
          <w:szCs w:val="28"/>
        </w:rPr>
        <w:t xml:space="preserve">    </w:t>
      </w:r>
      <w:r w:rsidR="00C62A9C" w:rsidRPr="005D5FC1">
        <w:rPr>
          <w:rFonts w:ascii="FangSong" w:eastAsia="FangSong" w:hAnsi="FangSong" w:hint="eastAsia"/>
          <w:sz w:val="28"/>
          <w:szCs w:val="28"/>
        </w:rPr>
        <w:t>大学。</w:t>
      </w:r>
    </w:p>
    <w:p w14:paraId="134630BB" w14:textId="35218F27" w:rsidR="001147D6" w:rsidRPr="002A2DB5" w:rsidRDefault="003A17BB" w:rsidP="002A2DB5">
      <w:pPr>
        <w:pStyle w:val="2"/>
        <w:spacing w:line="360" w:lineRule="auto"/>
        <w:rPr>
          <w:rFonts w:ascii="FangSong" w:eastAsia="FangSong" w:hAnsi="FangSong"/>
        </w:rPr>
      </w:pPr>
      <w:bookmarkStart w:id="15" w:name="_Toc24893519"/>
      <w:r w:rsidRPr="002A2DB5">
        <w:rPr>
          <w:rFonts w:ascii="FangSong" w:eastAsia="FangSong" w:hAnsi="FangSong" w:hint="eastAsia"/>
        </w:rPr>
        <w:t>5.2</w:t>
      </w:r>
      <w:r w:rsidR="001147D6" w:rsidRPr="002A2DB5">
        <w:rPr>
          <w:rFonts w:ascii="FangSong" w:eastAsia="FangSong" w:hAnsi="FangSong" w:hint="eastAsia"/>
        </w:rPr>
        <w:t>客群定位</w:t>
      </w:r>
      <w:bookmarkEnd w:id="15"/>
    </w:p>
    <w:p w14:paraId="59A1336E" w14:textId="3755C3B7" w:rsidR="001965A0" w:rsidRPr="009F26FD" w:rsidRDefault="001965A0" w:rsidP="00122C2C">
      <w:pPr>
        <w:pStyle w:val="a3"/>
        <w:numPr>
          <w:ilvl w:val="0"/>
          <w:numId w:val="17"/>
        </w:numPr>
        <w:spacing w:line="360" w:lineRule="auto"/>
        <w:ind w:firstLineChars="0"/>
        <w:rPr>
          <w:rFonts w:ascii="FangSong" w:eastAsia="FangSong" w:hAnsi="FangSong"/>
          <w:sz w:val="28"/>
          <w:szCs w:val="28"/>
        </w:rPr>
      </w:pPr>
      <w:r w:rsidRPr="009F26FD">
        <w:rPr>
          <w:rFonts w:ascii="FangSong" w:eastAsia="FangSong" w:hAnsi="FangSong" w:hint="eastAsia"/>
          <w:sz w:val="28"/>
          <w:szCs w:val="28"/>
        </w:rPr>
        <w:t>消费能力和消费意识提前的老年群体：追求高品质生活质量、经济能力足以支持独立生活，可选择直接购买或长期租赁。</w:t>
      </w:r>
    </w:p>
    <w:p w14:paraId="6B361DC0" w14:textId="3484CBBF" w:rsidR="001965A0" w:rsidRPr="002A2DB5" w:rsidRDefault="001965A0" w:rsidP="00122C2C">
      <w:pPr>
        <w:pStyle w:val="a3"/>
        <w:numPr>
          <w:ilvl w:val="0"/>
          <w:numId w:val="17"/>
        </w:numPr>
        <w:spacing w:line="360" w:lineRule="auto"/>
        <w:ind w:firstLineChars="0"/>
        <w:rPr>
          <w:rFonts w:ascii="FangSong" w:eastAsia="FangSong" w:hAnsi="FangSong"/>
          <w:sz w:val="28"/>
          <w:szCs w:val="28"/>
        </w:rPr>
      </w:pPr>
      <w:r w:rsidRPr="002A2DB5">
        <w:rPr>
          <w:rFonts w:ascii="FangSong" w:eastAsia="FangSong" w:hAnsi="FangSong" w:hint="eastAsia"/>
          <w:sz w:val="28"/>
          <w:szCs w:val="28"/>
        </w:rPr>
        <w:t>进行住房置换的老年群体：大房换小房，将大户型让给子女居住、市内六区房换环城四区房以及为了子女就近居住，异地迁</w:t>
      </w:r>
      <w:r w:rsidRPr="002A2DB5">
        <w:rPr>
          <w:rFonts w:ascii="FangSong" w:eastAsia="FangSong" w:hAnsi="FangSong" w:hint="eastAsia"/>
          <w:sz w:val="28"/>
          <w:szCs w:val="28"/>
        </w:rPr>
        <w:lastRenderedPageBreak/>
        <w:t>入，可选择直接购买或长期租赁。</w:t>
      </w:r>
    </w:p>
    <w:p w14:paraId="5B3D7831" w14:textId="336BD826" w:rsidR="001965A0" w:rsidRPr="003B3F14" w:rsidRDefault="001965A0" w:rsidP="00122C2C">
      <w:pPr>
        <w:pStyle w:val="a3"/>
        <w:numPr>
          <w:ilvl w:val="0"/>
          <w:numId w:val="17"/>
        </w:numPr>
        <w:spacing w:line="360" w:lineRule="auto"/>
        <w:ind w:firstLineChars="0"/>
        <w:rPr>
          <w:rFonts w:ascii="FangSong" w:eastAsia="FangSong" w:hAnsi="FangSong"/>
          <w:sz w:val="28"/>
          <w:szCs w:val="28"/>
        </w:rPr>
      </w:pPr>
      <w:r w:rsidRPr="003B3F14">
        <w:rPr>
          <w:rFonts w:ascii="FangSong" w:eastAsia="FangSong" w:hAnsi="FangSong" w:hint="eastAsia"/>
          <w:sz w:val="28"/>
          <w:szCs w:val="28"/>
        </w:rPr>
        <w:t>追求自由自主生活的老年人群体，</w:t>
      </w:r>
      <w:r w:rsidR="003B3F14">
        <w:rPr>
          <w:rFonts w:ascii="FangSong" w:eastAsia="FangSong" w:hAnsi="FangSong" w:hint="eastAsia"/>
          <w:sz w:val="28"/>
          <w:szCs w:val="28"/>
        </w:rPr>
        <w:t>享受全方位养老服务的老年人</w:t>
      </w:r>
      <w:r w:rsidRPr="003B3F14">
        <w:rPr>
          <w:rFonts w:ascii="FangSong" w:eastAsia="FangSong" w:hAnsi="FangSong" w:hint="eastAsia"/>
          <w:sz w:val="28"/>
          <w:szCs w:val="28"/>
        </w:rPr>
        <w:t>。</w:t>
      </w:r>
    </w:p>
    <w:p w14:paraId="0D3D36D1" w14:textId="68BAB794" w:rsidR="001A7908" w:rsidRDefault="003A17BB" w:rsidP="00267178">
      <w:pPr>
        <w:pStyle w:val="2"/>
        <w:spacing w:line="360" w:lineRule="auto"/>
        <w:rPr>
          <w:rFonts w:ascii="FangSong" w:eastAsia="FangSong" w:hAnsi="FangSong"/>
        </w:rPr>
      </w:pPr>
      <w:bookmarkStart w:id="16" w:name="_Toc24893520"/>
      <w:r w:rsidRPr="007C1894">
        <w:rPr>
          <w:rFonts w:ascii="FangSong" w:eastAsia="FangSong" w:hAnsi="FangSong" w:hint="eastAsia"/>
        </w:rPr>
        <w:t>5.3</w:t>
      </w:r>
      <w:r w:rsidR="001147D6" w:rsidRPr="007C1894">
        <w:rPr>
          <w:rFonts w:ascii="FangSong" w:eastAsia="FangSong" w:hAnsi="FangSong" w:hint="eastAsia"/>
        </w:rPr>
        <w:t>功能定位</w:t>
      </w:r>
      <w:bookmarkEnd w:id="16"/>
    </w:p>
    <w:p w14:paraId="3538E4A0" w14:textId="37AC793B" w:rsidR="009F26FD" w:rsidRPr="00225C30" w:rsidRDefault="009F26FD" w:rsidP="009F26FD">
      <w:pPr>
        <w:rPr>
          <w:rFonts w:ascii="FangSong" w:eastAsia="FangSong" w:hAnsi="FangSong"/>
          <w:sz w:val="28"/>
          <w:szCs w:val="28"/>
        </w:rPr>
      </w:pPr>
      <w:r w:rsidRPr="00225C30">
        <w:rPr>
          <w:rFonts w:ascii="FangSong" w:eastAsia="FangSong" w:hAnsi="FangSong" w:hint="eastAsia"/>
          <w:sz w:val="28"/>
          <w:szCs w:val="28"/>
        </w:rPr>
        <w:t xml:space="preserve">     “金岸康城”功能定位</w:t>
      </w:r>
      <w:r w:rsidR="007C1894">
        <w:rPr>
          <w:rFonts w:ascii="FangSong" w:eastAsia="FangSong" w:hAnsi="FangSong" w:hint="eastAsia"/>
          <w:sz w:val="28"/>
          <w:szCs w:val="28"/>
        </w:rPr>
        <w:t>为以</w:t>
      </w:r>
      <w:r w:rsidR="0029289A">
        <w:rPr>
          <w:rFonts w:ascii="FangSong" w:eastAsia="FangSong" w:hAnsi="FangSong" w:hint="eastAsia"/>
          <w:sz w:val="28"/>
          <w:szCs w:val="28"/>
        </w:rPr>
        <w:t>养老</w:t>
      </w:r>
      <w:r w:rsidR="007C1894">
        <w:rPr>
          <w:rFonts w:ascii="FangSong" w:eastAsia="FangSong" w:hAnsi="FangSong" w:hint="eastAsia"/>
          <w:sz w:val="28"/>
          <w:szCs w:val="28"/>
        </w:rPr>
        <w:t>养生功能为主的项目——养老中心、养生酒店、商业综合体、医院、培训中心等。服务内容包含</w:t>
      </w:r>
      <w:r w:rsidRPr="00225C30">
        <w:rPr>
          <w:rFonts w:ascii="FangSong" w:eastAsia="FangSong" w:hAnsi="FangSong" w:hint="eastAsia"/>
          <w:sz w:val="28"/>
          <w:szCs w:val="28"/>
        </w:rPr>
        <w:t>基础服务、生活服务、医疗护理、健康保健、文化娱乐、自我价值实现五大模块。</w:t>
      </w:r>
    </w:p>
    <w:p w14:paraId="5FAA033E" w14:textId="77777777"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基础服务：</w:t>
      </w:r>
    </w:p>
    <w:p w14:paraId="14C4FBD7" w14:textId="0B816D8A" w:rsidR="009F26FD" w:rsidRPr="009F26FD" w:rsidRDefault="00225C30" w:rsidP="009F26FD">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根据老年人健康程度提供不同的服务。例如：对于健康自理型只需要提供简单的日常照护服务，如打扫卫生、清洁衣物、理发服务、紧急呼叫、送餐等；而对于不能自理型则需要协助日常护理、24小时看护，定期巡视等。</w:t>
      </w:r>
    </w:p>
    <w:p w14:paraId="734BB4F8" w14:textId="77777777"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生活服务：</w:t>
      </w:r>
    </w:p>
    <w:p w14:paraId="63FE24B2" w14:textId="679AAE16" w:rsidR="009F26FD" w:rsidRPr="002A2DB5" w:rsidRDefault="00225C30" w:rsidP="009F26FD">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引入大型商超、购物中心、酒店、餐厅、邮局、银行等配套设施，方便社区生活。</w:t>
      </w:r>
    </w:p>
    <w:p w14:paraId="3573418C" w14:textId="77777777"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医疗护理：</w:t>
      </w:r>
    </w:p>
    <w:p w14:paraId="27D2A658" w14:textId="0D6F38CC" w:rsidR="009F26FD" w:rsidRPr="003B3F14" w:rsidRDefault="00225C30" w:rsidP="009F26FD">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医疗护理是养老社区最重要的配套服务之一。区分西医与中医，与专业医院合作，由专业团队负责管理，其功能主要是定期体检、制定个人保健计划，专业或私人医生、急救中心、康复理</w:t>
      </w:r>
      <w:r>
        <w:rPr>
          <w:rFonts w:ascii="FangSong" w:eastAsia="FangSong" w:hAnsi="FangSong" w:hint="eastAsia"/>
          <w:sz w:val="28"/>
          <w:szCs w:val="28"/>
        </w:rPr>
        <w:lastRenderedPageBreak/>
        <w:t>疗、心理治疗等。</w:t>
      </w:r>
    </w:p>
    <w:p w14:paraId="5F93B71D" w14:textId="1EA07752"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健康保健：</w:t>
      </w:r>
    </w:p>
    <w:p w14:paraId="7EE2A945" w14:textId="27F2E167" w:rsidR="00225C30" w:rsidRDefault="00225C30" w:rsidP="00225C30">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主要是为了帮助老年人恢复或保持健康及丰富其生活。未来，项目建成后将设置健身中心、游泳池、温泉spa及各类室内外活动场所。或者设置各类俱乐部，如乒乓球俱乐部、书法俱乐部、棋牌俱乐部、钓鱼俱乐部等。</w:t>
      </w:r>
    </w:p>
    <w:p w14:paraId="0D0E41B6" w14:textId="6304EE8D"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文化娱乐：</w:t>
      </w:r>
    </w:p>
    <w:p w14:paraId="2BBDE9C9" w14:textId="23E6D681" w:rsidR="00225C30" w:rsidRDefault="00225C30" w:rsidP="00225C30">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定期举行各类活动丰富老年人生活。包括文艺演出、社区运动会、音乐会、舞会、画展、摄影、讲座、培训、交流活动。或者设置老年大学、教授声乐、书法、舞蹈、手工、陶艺、雕刻、缝纫、膳食营养、养生保健等内容。建立图书室等，丰富老年人文化需求。</w:t>
      </w:r>
    </w:p>
    <w:p w14:paraId="2AED0C7D" w14:textId="4DCFBAAA" w:rsidR="009F26FD" w:rsidRDefault="009F26FD" w:rsidP="00122C2C">
      <w:pPr>
        <w:pStyle w:val="a3"/>
        <w:numPr>
          <w:ilvl w:val="0"/>
          <w:numId w:val="28"/>
        </w:numPr>
        <w:spacing w:line="360" w:lineRule="auto"/>
        <w:ind w:firstLineChars="0"/>
        <w:rPr>
          <w:rFonts w:ascii="FangSong" w:eastAsia="FangSong" w:hAnsi="FangSong"/>
          <w:sz w:val="28"/>
          <w:szCs w:val="28"/>
        </w:rPr>
      </w:pPr>
      <w:r>
        <w:rPr>
          <w:rFonts w:ascii="FangSong" w:eastAsia="FangSong" w:hAnsi="FangSong" w:hint="eastAsia"/>
          <w:sz w:val="28"/>
          <w:szCs w:val="28"/>
        </w:rPr>
        <w:t>自我价值实现：</w:t>
      </w:r>
    </w:p>
    <w:p w14:paraId="52B04599" w14:textId="03C68F8F" w:rsidR="00792C4B" w:rsidRPr="005D5FC1" w:rsidRDefault="00225C30" w:rsidP="005D5FC1">
      <w:pPr>
        <w:pStyle w:val="a3"/>
        <w:spacing w:line="360" w:lineRule="auto"/>
        <w:ind w:left="720" w:firstLineChars="0" w:firstLine="0"/>
        <w:rPr>
          <w:rFonts w:ascii="FangSong" w:eastAsia="FangSong" w:hAnsi="FangSong"/>
          <w:sz w:val="28"/>
          <w:szCs w:val="28"/>
        </w:rPr>
      </w:pPr>
      <w:r>
        <w:rPr>
          <w:rFonts w:ascii="FangSong" w:eastAsia="FangSong" w:hAnsi="FangSong" w:hint="eastAsia"/>
          <w:sz w:val="28"/>
          <w:szCs w:val="28"/>
        </w:rPr>
        <w:t>为使老年人“老有所用”，实现自我价值</w:t>
      </w:r>
      <w:r w:rsidR="007C1894">
        <w:rPr>
          <w:rFonts w:ascii="FangSong" w:eastAsia="FangSong" w:hAnsi="FangSong" w:hint="eastAsia"/>
          <w:sz w:val="28"/>
          <w:szCs w:val="28"/>
        </w:rPr>
        <w:t>。项目运营后，拟设置如大学教师、儿童辅导员等职位帮助老年人挥发“余热”，实现自我价值。或者设置志愿者俱乐部，鼓励老人协助社区日常管理，帮助照料他人等工作。</w:t>
      </w:r>
    </w:p>
    <w:p w14:paraId="21F79384" w14:textId="0FCC1D18" w:rsidR="00F11B54" w:rsidRPr="002A2DB5" w:rsidRDefault="00B63664" w:rsidP="002A2DB5">
      <w:pPr>
        <w:pStyle w:val="1"/>
        <w:spacing w:line="360" w:lineRule="auto"/>
        <w:rPr>
          <w:rFonts w:ascii="FangSong" w:eastAsia="FangSong" w:hAnsi="FangSong"/>
        </w:rPr>
      </w:pPr>
      <w:bookmarkStart w:id="17" w:name="_Toc24893521"/>
      <w:r w:rsidRPr="002A2DB5">
        <w:rPr>
          <w:rFonts w:ascii="FangSong" w:eastAsia="FangSong" w:hAnsi="FangSong" w:hint="eastAsia"/>
        </w:rPr>
        <w:lastRenderedPageBreak/>
        <w:t>六、</w:t>
      </w:r>
      <w:r w:rsidR="00F11B54" w:rsidRPr="002A2DB5">
        <w:rPr>
          <w:rFonts w:ascii="FangSong" w:eastAsia="FangSong" w:hAnsi="FangSong" w:hint="eastAsia"/>
        </w:rPr>
        <w:t>项目评价</w:t>
      </w:r>
      <w:bookmarkEnd w:id="17"/>
    </w:p>
    <w:p w14:paraId="7E837998" w14:textId="5F7B75C1" w:rsidR="003A17BB" w:rsidRPr="002A2DB5" w:rsidRDefault="003A17BB" w:rsidP="002A2DB5">
      <w:pPr>
        <w:pStyle w:val="2"/>
        <w:spacing w:line="360" w:lineRule="auto"/>
        <w:rPr>
          <w:rFonts w:ascii="FangSong" w:eastAsia="FangSong" w:hAnsi="FangSong"/>
        </w:rPr>
      </w:pPr>
      <w:bookmarkStart w:id="18" w:name="_Toc24893522"/>
      <w:r w:rsidRPr="002A2DB5">
        <w:rPr>
          <w:rFonts w:ascii="FangSong" w:eastAsia="FangSong" w:hAnsi="FangSong" w:hint="eastAsia"/>
        </w:rPr>
        <w:t>6.1能评分析</w:t>
      </w:r>
      <w:bookmarkEnd w:id="18"/>
      <w:r w:rsidR="00BF3A13" w:rsidRPr="002A2DB5">
        <w:rPr>
          <w:rFonts w:ascii="FangSong" w:eastAsia="FangSong" w:hAnsi="FangSong" w:hint="eastAsia"/>
        </w:rPr>
        <w:t xml:space="preserve">   </w:t>
      </w:r>
    </w:p>
    <w:p w14:paraId="370F6B5A" w14:textId="5E219689" w:rsidR="00BF3A13" w:rsidRPr="00267178" w:rsidRDefault="00267178" w:rsidP="002A2DB5">
      <w:pPr>
        <w:spacing w:line="360" w:lineRule="auto"/>
        <w:rPr>
          <w:rFonts w:ascii="FangSong" w:eastAsia="FangSong" w:hAnsi="FangSong"/>
          <w:sz w:val="28"/>
          <w:szCs w:val="28"/>
        </w:rPr>
      </w:pPr>
      <w:r>
        <w:rPr>
          <w:rFonts w:ascii="FangSong" w:eastAsia="FangSong" w:hAnsi="FangSong" w:hint="eastAsia"/>
        </w:rPr>
        <w:t xml:space="preserve">    </w:t>
      </w:r>
      <w:r w:rsidRPr="00267178">
        <w:rPr>
          <w:rFonts w:ascii="FangSong" w:eastAsia="FangSong" w:hAnsi="FangSong" w:hint="eastAsia"/>
          <w:sz w:val="28"/>
          <w:szCs w:val="28"/>
        </w:rPr>
        <w:t xml:space="preserve"> </w:t>
      </w:r>
      <w:r w:rsidR="00BF3A13" w:rsidRPr="00267178">
        <w:rPr>
          <w:rFonts w:ascii="FangSong" w:eastAsia="FangSong" w:hAnsi="FangSong"/>
          <w:sz w:val="28"/>
          <w:szCs w:val="28"/>
        </w:rPr>
        <w:t>项目严格遵循国家和地方有关建筑节能设计规范严格按照节能设计标准进行建筑设计，采用市政配套供电、供水、供暖、排污及中水系统。合理配置供暖及制冷设施，建筑材料及保温材料均符合设计标准。既满足使用功能，又符合生态、低碳、环保、节能的总要求。各项能耗指标均控制在国标范围内。项目于2015年2月15日通过了天津市工业和信息化委员会对金岸康城项目合理用能的审批。</w:t>
      </w:r>
    </w:p>
    <w:p w14:paraId="4BF2D893" w14:textId="0B0974B9" w:rsidR="00BF3A13" w:rsidRPr="002A2DB5" w:rsidRDefault="00BF3A13" w:rsidP="002A2DB5">
      <w:pPr>
        <w:spacing w:line="360" w:lineRule="auto"/>
        <w:ind w:firstLine="480"/>
        <w:rPr>
          <w:rFonts w:ascii="FangSong" w:eastAsia="FangSong" w:hAnsi="FangSong"/>
        </w:rPr>
      </w:pPr>
      <w:r w:rsidRPr="00267178">
        <w:rPr>
          <w:rFonts w:ascii="FangSong" w:eastAsia="FangSong" w:hAnsi="FangSong"/>
          <w:sz w:val="28"/>
          <w:szCs w:val="28"/>
        </w:rPr>
        <w:t>项目业态划分三大板块。主体为大型商贸综合体，经营业态为国际商品、生活日用品的批发零售。附以康乐服务业、酒店业、写字楼。对资源的需求局限在商业和经营范围标准。对环境和生态的影响限于生活污染级。项目一侧延津港公路南北延续约600米，对商业综合体讲是生财旺铺。但对津港公路4000辆车的流量讲，交通环境将在高峰时段有一定的影响，需要在规划交通设计中考虑解决方案。</w:t>
      </w:r>
    </w:p>
    <w:p w14:paraId="6D0C46EA" w14:textId="0F3781CE" w:rsidR="003A17BB" w:rsidRPr="002A2DB5" w:rsidRDefault="003A17BB" w:rsidP="002A2DB5">
      <w:pPr>
        <w:pStyle w:val="2"/>
        <w:spacing w:line="360" w:lineRule="auto"/>
        <w:rPr>
          <w:rFonts w:ascii="FangSong" w:eastAsia="FangSong" w:hAnsi="FangSong"/>
        </w:rPr>
      </w:pPr>
      <w:bookmarkStart w:id="19" w:name="_Toc24893523"/>
      <w:r w:rsidRPr="002A2DB5">
        <w:rPr>
          <w:rFonts w:ascii="FangSong" w:eastAsia="FangSong" w:hAnsi="FangSong" w:hint="eastAsia"/>
        </w:rPr>
        <w:t>6.2环评分析</w:t>
      </w:r>
      <w:bookmarkEnd w:id="19"/>
    </w:p>
    <w:p w14:paraId="1EDAED62" w14:textId="2C3C71DE" w:rsidR="00BF3A13" w:rsidRPr="00FF5AD8" w:rsidRDefault="00BF3A13" w:rsidP="002A2DB5">
      <w:pPr>
        <w:spacing w:line="360" w:lineRule="auto"/>
        <w:rPr>
          <w:rFonts w:ascii="FangSong" w:eastAsia="FangSong" w:hAnsi="FangSong"/>
          <w:sz w:val="28"/>
          <w:szCs w:val="28"/>
        </w:rPr>
      </w:pPr>
      <w:r w:rsidRPr="002A2DB5">
        <w:rPr>
          <w:rFonts w:ascii="FangSong" w:eastAsia="FangSong" w:hAnsi="FangSong"/>
        </w:rPr>
        <w:t xml:space="preserve"> </w:t>
      </w:r>
      <w:r w:rsidRPr="00267178">
        <w:rPr>
          <w:rFonts w:ascii="FangSong" w:eastAsia="FangSong" w:hAnsi="FangSong"/>
          <w:sz w:val="28"/>
          <w:szCs w:val="28"/>
        </w:rPr>
        <w:t xml:space="preserve">   项目延高速公路两侧待建的各100米宽、长约800米的规划绿化带，将随同中滨城项目建成而建成。将为中滨城项目生态环境带</w:t>
      </w:r>
      <w:r w:rsidRPr="00267178">
        <w:rPr>
          <w:rFonts w:ascii="FangSong" w:eastAsia="FangSong" w:hAnsi="FangSong"/>
          <w:sz w:val="28"/>
          <w:szCs w:val="28"/>
        </w:rPr>
        <w:lastRenderedPageBreak/>
        <w:t>来盎然生机的同时，成为中滨城项目天然氧吧。金岸康城项目于2015年4月3日通过了天津市津南区行政审批局对金岸康城项目环境影响报告书的审批。</w:t>
      </w:r>
    </w:p>
    <w:p w14:paraId="44437E26" w14:textId="073C1307" w:rsidR="00C8001C" w:rsidRPr="00FF5AD8" w:rsidRDefault="00B63664" w:rsidP="002A2DB5">
      <w:pPr>
        <w:pStyle w:val="1"/>
        <w:spacing w:line="360" w:lineRule="auto"/>
        <w:rPr>
          <w:rFonts w:ascii="FangSong" w:eastAsia="FangSong" w:hAnsi="FangSong"/>
        </w:rPr>
      </w:pPr>
      <w:bookmarkStart w:id="20" w:name="_Toc24893524"/>
      <w:r w:rsidRPr="00FF5AD8">
        <w:rPr>
          <w:rFonts w:ascii="FangSong" w:eastAsia="FangSong" w:hAnsi="FangSong" w:hint="eastAsia"/>
        </w:rPr>
        <w:t>七、</w:t>
      </w:r>
      <w:r w:rsidR="00D25BF8" w:rsidRPr="00FF5AD8">
        <w:rPr>
          <w:rFonts w:ascii="FangSong" w:eastAsia="FangSong" w:hAnsi="FangSong" w:hint="eastAsia"/>
        </w:rPr>
        <w:t>服务产品</w:t>
      </w:r>
      <w:bookmarkEnd w:id="20"/>
    </w:p>
    <w:p w14:paraId="34021BB9" w14:textId="6C132B9E" w:rsidR="002609AF" w:rsidRPr="00FF5AD8" w:rsidRDefault="003A17BB" w:rsidP="002A2DB5">
      <w:pPr>
        <w:pStyle w:val="2"/>
        <w:spacing w:line="360" w:lineRule="auto"/>
        <w:rPr>
          <w:rFonts w:ascii="FangSong" w:eastAsia="FangSong" w:hAnsi="FangSong"/>
        </w:rPr>
      </w:pPr>
      <w:bookmarkStart w:id="21" w:name="_Toc24893525"/>
      <w:r w:rsidRPr="00FF5AD8">
        <w:rPr>
          <w:rFonts w:ascii="FangSong" w:eastAsia="FangSong" w:hAnsi="FangSong" w:hint="eastAsia"/>
        </w:rPr>
        <w:t>7.1</w:t>
      </w:r>
      <w:r w:rsidR="00D25BF8" w:rsidRPr="00FF5AD8">
        <w:rPr>
          <w:rFonts w:ascii="FangSong" w:eastAsia="FangSong" w:hAnsi="FangSong" w:hint="eastAsia"/>
        </w:rPr>
        <w:t>服务产品</w:t>
      </w:r>
      <w:bookmarkEnd w:id="21"/>
    </w:p>
    <w:p w14:paraId="57DF1113" w14:textId="2CC7DA9F" w:rsidR="00FF5AD8" w:rsidRPr="00FF5AD8" w:rsidRDefault="00FF5AD8" w:rsidP="00FF5AD8">
      <w:pPr>
        <w:rPr>
          <w:rFonts w:ascii="FangSong" w:eastAsia="FangSong" w:hAnsi="FangSong"/>
          <w:sz w:val="28"/>
          <w:szCs w:val="28"/>
        </w:rPr>
      </w:pPr>
      <w:r>
        <w:rPr>
          <w:rFonts w:ascii="FangSong" w:eastAsia="FangSong" w:hAnsi="FangSong" w:hint="eastAsia"/>
          <w:sz w:val="28"/>
          <w:szCs w:val="28"/>
        </w:rPr>
        <w:t>1、</w:t>
      </w:r>
      <w:r w:rsidRPr="00FF5AD8">
        <w:rPr>
          <w:rFonts w:ascii="FangSong" w:eastAsia="FangSong" w:hAnsi="FangSong" w:hint="eastAsia"/>
          <w:sz w:val="28"/>
          <w:szCs w:val="28"/>
        </w:rPr>
        <w:t>产</w:t>
      </w:r>
      <w:r>
        <w:rPr>
          <w:rFonts w:ascii="FangSong" w:eastAsia="FangSong" w:hAnsi="FangSong" w:hint="eastAsia"/>
          <w:sz w:val="28"/>
          <w:szCs w:val="28"/>
        </w:rPr>
        <w:t>权式：本项目的房产部分是可以销售产权，老年用户可以购买房屋产权。</w:t>
      </w:r>
    </w:p>
    <w:p w14:paraId="239EF732" w14:textId="4309B3BD" w:rsidR="00FF5AD8" w:rsidRPr="00FF5AD8" w:rsidRDefault="00FF5AD8" w:rsidP="00FF5AD8">
      <w:pPr>
        <w:rPr>
          <w:rFonts w:ascii="FangSong" w:eastAsia="FangSong" w:hAnsi="FangSong"/>
          <w:sz w:val="28"/>
          <w:szCs w:val="28"/>
        </w:rPr>
      </w:pPr>
      <w:r>
        <w:rPr>
          <w:rFonts w:ascii="FangSong" w:eastAsia="FangSong" w:hAnsi="FangSong" w:hint="eastAsia"/>
          <w:sz w:val="28"/>
          <w:szCs w:val="28"/>
        </w:rPr>
        <w:t>2、</w:t>
      </w:r>
      <w:r w:rsidRPr="00FF5AD8">
        <w:rPr>
          <w:rFonts w:ascii="FangSong" w:eastAsia="FangSong" w:hAnsi="FangSong" w:hint="eastAsia"/>
          <w:sz w:val="28"/>
          <w:szCs w:val="28"/>
        </w:rPr>
        <w:t>企业产权式：这是本项目的主要营销方式，老</w:t>
      </w:r>
      <w:r>
        <w:rPr>
          <w:rFonts w:ascii="FangSong" w:eastAsia="FangSong" w:hAnsi="FangSong" w:hint="eastAsia"/>
          <w:sz w:val="28"/>
          <w:szCs w:val="28"/>
        </w:rPr>
        <w:t>年用户可以购买企业产权，并由房管部门发放产权证，杜绝了一房多卖。</w:t>
      </w:r>
    </w:p>
    <w:p w14:paraId="1A4F2B75" w14:textId="27275D8B" w:rsidR="002609AF" w:rsidRDefault="00FF5AD8" w:rsidP="00FF5AD8">
      <w:pPr>
        <w:rPr>
          <w:rFonts w:ascii="FangSong" w:eastAsia="FangSong" w:hAnsi="FangSong"/>
          <w:sz w:val="28"/>
          <w:szCs w:val="28"/>
        </w:rPr>
      </w:pPr>
      <w:r>
        <w:rPr>
          <w:rFonts w:ascii="FangSong" w:eastAsia="FangSong" w:hAnsi="FangSong" w:hint="eastAsia"/>
          <w:sz w:val="28"/>
          <w:szCs w:val="28"/>
        </w:rPr>
        <w:t>3、</w:t>
      </w:r>
      <w:r w:rsidRPr="00FF5AD8">
        <w:rPr>
          <w:rFonts w:ascii="FangSong" w:eastAsia="FangSong" w:hAnsi="FangSong" w:hint="eastAsia"/>
          <w:sz w:val="28"/>
          <w:szCs w:val="28"/>
        </w:rPr>
        <w:t>会籍制：老年用户可购买会籍卡，在购买会籍卡后拥有房屋的使用权，并可以随时退籍和转让会籍。</w:t>
      </w:r>
    </w:p>
    <w:p w14:paraId="2D044938" w14:textId="3DD76AF2" w:rsidR="00025C5D" w:rsidRPr="00FF5AD8" w:rsidRDefault="00025C5D" w:rsidP="00025C5D">
      <w:pPr>
        <w:pStyle w:val="2"/>
        <w:spacing w:line="360" w:lineRule="auto"/>
        <w:rPr>
          <w:rFonts w:ascii="FangSong" w:eastAsia="FangSong" w:hAnsi="FangSong"/>
        </w:rPr>
      </w:pPr>
      <w:bookmarkStart w:id="22" w:name="_Toc24893526"/>
      <w:r>
        <w:rPr>
          <w:rFonts w:ascii="FangSong" w:eastAsia="FangSong" w:hAnsi="FangSong" w:hint="eastAsia"/>
        </w:rPr>
        <w:t>7.2服务内容</w:t>
      </w:r>
      <w:bookmarkEnd w:id="22"/>
    </w:p>
    <w:p w14:paraId="6521FEF5" w14:textId="643EE334" w:rsidR="009A5307" w:rsidRPr="009A5307" w:rsidRDefault="009A5307" w:rsidP="009A5307">
      <w:pPr>
        <w:ind w:firstLine="560"/>
        <w:rPr>
          <w:rFonts w:ascii="FangSong" w:eastAsia="FangSong" w:hAnsi="FangSong"/>
          <w:color w:val="FF0000"/>
          <w:sz w:val="28"/>
          <w:szCs w:val="28"/>
        </w:rPr>
      </w:pPr>
      <w:r w:rsidRPr="009A5307">
        <w:rPr>
          <w:rFonts w:ascii="FangSong" w:eastAsia="FangSong" w:hAnsi="FangSong" w:hint="eastAsia"/>
          <w:color w:val="FF0000"/>
          <w:sz w:val="28"/>
          <w:szCs w:val="28"/>
        </w:rPr>
        <w:t>项目服务内容分为四大模块，以养老院、养老公寓为主要载体的“智慧生活服务模块” 、以医院在载体的“健康管理服务模块”、以老年大学为载体的“文化艺术服务模块”、以商业配套、高端养老院、幼儿园为载体提供的“尊荣享受服务模块”。基础服务与增值服务贯穿四大模块之中。</w:t>
      </w:r>
    </w:p>
    <w:p w14:paraId="7143D6C4" w14:textId="55565E26"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t>1、智慧生活服务模块</w:t>
      </w:r>
    </w:p>
    <w:p w14:paraId="52931AB5"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lastRenderedPageBreak/>
        <w:t xml:space="preserve">   家属联络、每日问候、节日活动实施、情绪安抚、定期检查电器安全、服务转介、入户打扫、包裹快递、无障碍园区环境、人体感性传感器、无障碍救护流线、智能门禁、无障碍通行服务、温差探测器、人性化电梯、紧急呼叫系统、智能电话、不活动通知、全区信息化功能、紧急救助、离家状态断电切换等21项基础服务。提供床上用品更换清洗、窗帘和纱窗的清洗、特别膳食服务、专属营养师配餐、精致餐点、点餐送餐、私人秘书服务、出行陪伴、租车服务、生活用品代购服务、家具，地板，洁具等11项增值服务。</w:t>
      </w:r>
    </w:p>
    <w:p w14:paraId="7074752E"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t>2、健康管理服务模块</w:t>
      </w:r>
    </w:p>
    <w:p w14:paraId="3EC06756"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t xml:space="preserve">   提供药物安全建议活动、药事提醒、阳光档案、慢性病干预、健康计划、定期专家问诊、医疗优先、定期卫教讲座、生理量测记录查询、康复评估、周全性评估、日常辅导、营养评估、适应辅导等14项基础服务。同时，提供健康体检、康复活动、康复计划、个案辅导等4项增值服务。</w:t>
      </w:r>
    </w:p>
    <w:p w14:paraId="7649315F"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t>3、文化艺术服务模块</w:t>
      </w:r>
    </w:p>
    <w:p w14:paraId="70F7EF43"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t xml:space="preserve">   提供五大系列课程。包括“健康养生系列”的运动养生课程、膳食营养课程、心理保健课程、情绪管理课程；“人文社科系列”的文学、历史、军事、时政、语言、旅游课程；“艺术系列”的书法、国画、摄影、戏曲、声乐、器乐、舞蹈课程；“休闲体育系列”的棋类、球类、游泳、体操、武术课程；“生活系列”的电脑、烹饪、时尚、园艺、手工艺等27项课程的基础服务。</w:t>
      </w:r>
    </w:p>
    <w:p w14:paraId="72A2D0F4" w14:textId="77777777" w:rsidR="009A5307" w:rsidRPr="009A5307" w:rsidRDefault="009A5307" w:rsidP="009A5307">
      <w:pPr>
        <w:rPr>
          <w:rFonts w:ascii="FangSong" w:eastAsia="FangSong" w:hAnsi="FangSong"/>
          <w:color w:val="FF0000"/>
          <w:sz w:val="28"/>
          <w:szCs w:val="28"/>
        </w:rPr>
      </w:pPr>
      <w:r w:rsidRPr="009A5307">
        <w:rPr>
          <w:rFonts w:ascii="FangSong" w:eastAsia="FangSong" w:hAnsi="FangSong" w:hint="eastAsia"/>
          <w:color w:val="FF0000"/>
          <w:sz w:val="28"/>
          <w:szCs w:val="28"/>
        </w:rPr>
        <w:lastRenderedPageBreak/>
        <w:t>4、尊荣享受服务模块</w:t>
      </w:r>
    </w:p>
    <w:p w14:paraId="6B3704F8" w14:textId="77777777" w:rsidR="009A5307" w:rsidRPr="009A5307" w:rsidRDefault="009A5307" w:rsidP="009A5307">
      <w:pPr>
        <w:rPr>
          <w:rFonts w:ascii="FangSong" w:eastAsia="FangSong" w:hAnsi="FangSong"/>
          <w:color w:val="FF0000"/>
          <w:sz w:val="28"/>
          <w:szCs w:val="28"/>
          <w:highlight w:val="yellow"/>
        </w:rPr>
      </w:pPr>
      <w:r w:rsidRPr="009A5307">
        <w:rPr>
          <w:rFonts w:ascii="FangSong" w:eastAsia="FangSong" w:hAnsi="FangSong" w:hint="eastAsia"/>
          <w:color w:val="FF0000"/>
          <w:sz w:val="28"/>
          <w:szCs w:val="28"/>
        </w:rPr>
        <w:t xml:space="preserve">   组织交友会、票友会、理财咨询、生命教育活动。提供电影院、远程视频越洋电话、随园运动会、住院探视、个案灵性关怀、迷你私人花园农场等11项基础服务。同时，提供温馨旅游季、葡萄酒俱乐部、治疗性团体活动、高尔夫兴趣组、慢性病支持团体、欢乐下午茶、瑜伽社、烘焙工坊、太极社、茶艺社、摄影社、歌咏会等12项增值服务。</w:t>
      </w:r>
    </w:p>
    <w:p w14:paraId="38C68053" w14:textId="77777777" w:rsidR="009A5307" w:rsidRPr="00D20481" w:rsidRDefault="009A5307" w:rsidP="009A5307">
      <w:pPr>
        <w:pStyle w:val="2"/>
        <w:rPr>
          <w:rFonts w:ascii="FangSong" w:eastAsia="FangSong" w:hAnsi="FangSong"/>
          <w:sz w:val="28"/>
          <w:szCs w:val="28"/>
        </w:rPr>
      </w:pPr>
      <w:bookmarkStart w:id="23" w:name="_Toc24229016"/>
      <w:bookmarkStart w:id="24" w:name="_Toc24893527"/>
      <w:r w:rsidRPr="00D20481">
        <w:rPr>
          <w:rFonts w:ascii="FangSong" w:eastAsia="FangSong" w:hAnsi="FangSong" w:hint="eastAsia"/>
          <w:sz w:val="28"/>
          <w:szCs w:val="28"/>
        </w:rPr>
        <w:t>2.4项目服务特色</w:t>
      </w:r>
      <w:bookmarkEnd w:id="23"/>
      <w:bookmarkEnd w:id="24"/>
    </w:p>
    <w:p w14:paraId="3235CF16" w14:textId="77777777" w:rsidR="009A5307" w:rsidRPr="0067320B" w:rsidRDefault="009A5307" w:rsidP="009A53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FangSong" w:eastAsia="FangSong" w:hAnsi="FangSong" w:cs="Helvetica Neue"/>
          <w:sz w:val="28"/>
          <w:szCs w:val="28"/>
        </w:rPr>
      </w:pPr>
      <w:r>
        <w:rPr>
          <w:rFonts w:ascii="FangSong" w:eastAsia="FangSong" w:hAnsi="FangSong" w:hint="eastAsia"/>
          <w:sz w:val="28"/>
          <w:szCs w:val="28"/>
        </w:rPr>
        <w:t xml:space="preserve">   </w:t>
      </w:r>
      <w:r w:rsidRPr="001307D4">
        <w:rPr>
          <w:rFonts w:ascii="FangSong" w:eastAsia="FangSong" w:hAnsi="FangSong"/>
          <w:sz w:val="28"/>
          <w:szCs w:val="28"/>
        </w:rPr>
        <w:t>从老人的身、心、灵全方位需求出发，提供包括</w:t>
      </w:r>
      <w:r>
        <w:rPr>
          <w:rFonts w:ascii="FangSong" w:eastAsia="FangSong" w:hAnsi="FangSong" w:hint="eastAsia"/>
          <w:sz w:val="28"/>
          <w:szCs w:val="28"/>
        </w:rPr>
        <w:t>智慧生活</w:t>
      </w:r>
      <w:r>
        <w:rPr>
          <w:rFonts w:ascii="FangSong" w:eastAsia="FangSong" w:hAnsi="FangSong"/>
          <w:sz w:val="28"/>
          <w:szCs w:val="28"/>
        </w:rPr>
        <w:t>、</w:t>
      </w:r>
      <w:r>
        <w:rPr>
          <w:rFonts w:ascii="FangSong" w:eastAsia="FangSong" w:hAnsi="FangSong" w:hint="eastAsia"/>
          <w:sz w:val="28"/>
          <w:szCs w:val="28"/>
        </w:rPr>
        <w:t>健康管理</w:t>
      </w:r>
      <w:r>
        <w:rPr>
          <w:rFonts w:ascii="FangSong" w:eastAsia="FangSong" w:hAnsi="FangSong"/>
          <w:sz w:val="28"/>
          <w:szCs w:val="28"/>
        </w:rPr>
        <w:t>、</w:t>
      </w:r>
      <w:r>
        <w:rPr>
          <w:rFonts w:ascii="FangSong" w:eastAsia="FangSong" w:hAnsi="FangSong" w:hint="eastAsia"/>
          <w:sz w:val="28"/>
          <w:szCs w:val="28"/>
        </w:rPr>
        <w:t>文化艺术</w:t>
      </w:r>
      <w:r w:rsidRPr="001307D4">
        <w:rPr>
          <w:rFonts w:ascii="FangSong" w:eastAsia="FangSong" w:hAnsi="FangSong"/>
          <w:sz w:val="28"/>
          <w:szCs w:val="28"/>
        </w:rPr>
        <w:t>、尊荣享受四大服务模块和</w:t>
      </w:r>
      <w:r>
        <w:rPr>
          <w:rFonts w:ascii="FangSong" w:eastAsia="FangSong" w:hAnsi="FangSong" w:hint="eastAsia"/>
          <w:sz w:val="28"/>
          <w:szCs w:val="28"/>
        </w:rPr>
        <w:t>100</w:t>
      </w:r>
      <w:r w:rsidRPr="001307D4">
        <w:rPr>
          <w:rFonts w:ascii="FangSong" w:eastAsia="FangSong" w:hAnsi="FangSong"/>
          <w:sz w:val="28"/>
          <w:szCs w:val="28"/>
        </w:rPr>
        <w:t>项具体服务内容；</w:t>
      </w:r>
      <w:r>
        <w:rPr>
          <w:rFonts w:ascii="FangSong" w:eastAsia="FangSong" w:hAnsi="FangSong" w:hint="eastAsia"/>
          <w:sz w:val="28"/>
          <w:szCs w:val="28"/>
        </w:rPr>
        <w:t>采取贴身管家式的24小时服务，五星级服务标准，全方位服务长者，让其老有所养、老有所依、老有所成</w:t>
      </w:r>
      <w:r>
        <w:rPr>
          <w:rFonts w:ascii="FangSong" w:eastAsia="FangSong" w:hAnsi="FangSong"/>
          <w:sz w:val="28"/>
          <w:szCs w:val="28"/>
        </w:rPr>
        <w:t>。</w:t>
      </w:r>
    </w:p>
    <w:p w14:paraId="71DC570C" w14:textId="791D39EB" w:rsidR="00025C5D" w:rsidRPr="00FF5AD8" w:rsidRDefault="00025C5D" w:rsidP="00FF5AD8">
      <w:pPr>
        <w:rPr>
          <w:rFonts w:ascii="FangSong" w:eastAsia="FangSong" w:hAnsi="FangSong"/>
          <w:sz w:val="28"/>
          <w:szCs w:val="28"/>
        </w:rPr>
      </w:pPr>
    </w:p>
    <w:p w14:paraId="38866071" w14:textId="759F0AAB" w:rsidR="002609AF" w:rsidRPr="00130B04" w:rsidRDefault="00025C5D" w:rsidP="002A2DB5">
      <w:pPr>
        <w:pStyle w:val="2"/>
        <w:spacing w:line="360" w:lineRule="auto"/>
        <w:rPr>
          <w:rFonts w:ascii="FangSong" w:eastAsia="FangSong" w:hAnsi="FangSong"/>
        </w:rPr>
      </w:pPr>
      <w:bookmarkStart w:id="25" w:name="_Toc24893528"/>
      <w:r>
        <w:rPr>
          <w:rFonts w:ascii="FangSong" w:eastAsia="FangSong" w:hAnsi="FangSong" w:hint="eastAsia"/>
        </w:rPr>
        <w:t>7.3</w:t>
      </w:r>
      <w:r w:rsidR="002609AF" w:rsidRPr="00130B04">
        <w:rPr>
          <w:rFonts w:ascii="FangSong" w:eastAsia="FangSong" w:hAnsi="FangSong" w:hint="eastAsia"/>
        </w:rPr>
        <w:t>周边竞品</w:t>
      </w:r>
      <w:bookmarkEnd w:id="25"/>
    </w:p>
    <w:p w14:paraId="522FD940" w14:textId="19805CFB" w:rsidR="008F5798" w:rsidRPr="00267178" w:rsidRDefault="008F5798" w:rsidP="002A2DB5">
      <w:pPr>
        <w:autoSpaceDE w:val="0"/>
        <w:autoSpaceDN w:val="0"/>
        <w:spacing w:line="360" w:lineRule="auto"/>
        <w:rPr>
          <w:rFonts w:ascii="FangSong" w:eastAsia="FangSong" w:hAnsi="FangSong"/>
          <w:sz w:val="28"/>
          <w:szCs w:val="28"/>
        </w:rPr>
      </w:pPr>
      <w:r w:rsidRPr="002A2DB5">
        <w:rPr>
          <w:rFonts w:ascii="FangSong" w:eastAsia="FangSong" w:hAnsi="FangSong" w:hint="eastAsia"/>
        </w:rPr>
        <w:t xml:space="preserve">    </w:t>
      </w:r>
      <w:r w:rsidRPr="00267178">
        <w:rPr>
          <w:rFonts w:ascii="FangSong" w:eastAsia="FangSong" w:hAnsi="FangSong" w:hint="eastAsia"/>
          <w:sz w:val="28"/>
          <w:szCs w:val="28"/>
        </w:rPr>
        <w:t>目前项目在天津的主要竞争对手为康宁津园项目、云杉镇项目、卓达太阳城项目。其中康宁项目、云杉镇项目分别拥有国企品牌的优势，且是天津最早开发建设的养老地产项目，相对口碑良好，劣势为市场需求量大与后续运营能力不足的矛盾。</w:t>
      </w:r>
    </w:p>
    <w:p w14:paraId="10AE3E99" w14:textId="7777777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1、云杉镇项目：</w:t>
      </w:r>
    </w:p>
    <w:p w14:paraId="07A43EF7" w14:textId="192DF7F1"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总占地面积1490亩，由24.5万平方米轮转式老年公寓、35万平方米居家式养老公寓、10万平方米自助式养老公寓、6万平方米酒店会所及13万平方米设施农业大棚组成。国营由天津滨海投资发展控股有限公司投资、松江生态建设开发有限公司建设、天津滨海资产管理有限公司经营的雲杉镇宜老社区隆重开业。经过4年的精心打造，一个占地面积1490亩的大型配套齐全、服务专业的宜老社区在万众期盼中神秘驶出。项目于2013年6月正式开业，</w:t>
      </w:r>
      <w:r w:rsidR="003B3F14">
        <w:rPr>
          <w:rFonts w:ascii="FangSong" w:eastAsia="FangSong" w:hAnsi="FangSong" w:hint="eastAsia"/>
          <w:sz w:val="28"/>
          <w:szCs w:val="28"/>
        </w:rPr>
        <w:t>拥有床位2287套，</w:t>
      </w:r>
      <w:r w:rsidRPr="00267178">
        <w:rPr>
          <w:rFonts w:ascii="FangSong" w:eastAsia="FangSong" w:hAnsi="FangSong" w:hint="eastAsia"/>
          <w:sz w:val="28"/>
          <w:szCs w:val="28"/>
        </w:rPr>
        <w:t>该项</w:t>
      </w:r>
      <w:r w:rsidRPr="00267178">
        <w:rPr>
          <w:rFonts w:ascii="FangSong" w:eastAsia="FangSong" w:hAnsi="FangSong" w:cs="宋体" w:hint="eastAsia"/>
          <w:sz w:val="28"/>
          <w:szCs w:val="28"/>
          <w:lang w:val="zh-CN"/>
        </w:rPr>
        <w:t>目的服务</w:t>
      </w:r>
      <w:r w:rsidRPr="00267178">
        <w:rPr>
          <w:rFonts w:ascii="FangSong" w:eastAsia="FangSong" w:hAnsi="FangSong" w:hint="eastAsia"/>
          <w:sz w:val="28"/>
          <w:szCs w:val="28"/>
        </w:rPr>
        <w:t>模式为：①“云杉式”关怀，三大核心基础服务：24小时管家服务、会员乐享服务、基础护理服务；②六大特色尊享服务：私人医生服务、康复理疗服务、轮转居住服务、老年大学服务、再就业规划服务、快乐农庄服务。</w:t>
      </w:r>
    </w:p>
    <w:p w14:paraId="431032DE" w14:textId="7777777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收费模式：雲杉卡：会费+年费（可继承、转让。年费包含通讯、月租、取暖、制冷、定额水电费、每年一份人身意外伤害险，其余餐费、医疗费等服务费用自理永久使用权。吉衫卡：会费（可继承、转让。可无限次提名。0年费，餐费自理。）</w:t>
      </w:r>
    </w:p>
    <w:p w14:paraId="5F7C3DC5" w14:textId="7777777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2、康宁津园项目：</w:t>
      </w:r>
    </w:p>
    <w:p w14:paraId="3C5AA793" w14:textId="17CFFA4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Pr="002752F6">
        <w:rPr>
          <w:rFonts w:ascii="FangSong" w:eastAsia="FangSong" w:hAnsi="FangSong" w:hint="eastAsia"/>
          <w:color w:val="FF0000"/>
          <w:sz w:val="28"/>
          <w:szCs w:val="28"/>
        </w:rPr>
        <w:t xml:space="preserve"> 康宁津园</w:t>
      </w:r>
      <w:r w:rsidR="002752F6" w:rsidRPr="002752F6">
        <w:rPr>
          <w:rFonts w:ascii="FangSong" w:eastAsia="FangSong" w:hAnsi="FangSong" w:hint="eastAsia"/>
          <w:color w:val="FF0000"/>
          <w:sz w:val="28"/>
          <w:szCs w:val="28"/>
        </w:rPr>
        <w:t>于2015年8月开业，</w:t>
      </w:r>
      <w:r w:rsidRPr="00267178">
        <w:rPr>
          <w:rFonts w:ascii="FangSong" w:eastAsia="FangSong" w:hAnsi="FangSong" w:hint="eastAsia"/>
          <w:sz w:val="28"/>
          <w:szCs w:val="28"/>
        </w:rPr>
        <w:t>是由政府引导，由天津市旅游集团开发建设的全国首个大型养老机构。位于静海县团泊新城西区健康产业园内，毗邻正在规划建设的天津第三中医附属医院、天津国际医学城、天津医科大学、天津中医药大学。总建筑面积44万平方米，总投资30亿元，其中，养老社区25万平方米，设计户数2000余</w:t>
      </w:r>
      <w:r w:rsidRPr="00267178">
        <w:rPr>
          <w:rFonts w:ascii="FangSong" w:eastAsia="FangSong" w:hAnsi="FangSong" w:hint="eastAsia"/>
          <w:sz w:val="28"/>
          <w:szCs w:val="28"/>
        </w:rPr>
        <w:lastRenderedPageBreak/>
        <w:t>套，规划居住老年人4500余名。 园区在规划之初做了多方的研究，参考了台湾地区以及新加坡、韩国的现代化养老模式，首创集全龄化社区、全模式养老、全程持续照护为一体的“三全”社区，将机构养老、集中养老、社区居家养老三种模式融于一体，包括养老公寓、护养院、医院、中央厨房、文化娱乐健身、康复理疗中心、温泉疗养、食堂、超市等养老设施一应俱全、可为老年人提供自理、介助、介护一体化的持续性养老服务。为了保证园区内老年人的身体健康，康宁津园与天津市多家三甲医院合作建立一所以健康管理和老年病诊治为特色的综合医院，创造了“三流程定制式”的健康管理模式，为老年人提供健康体检、健康评估、健康干预等个性化的服务，每位老人均有健康秘书、保健医生呵护健康；构建“小病不出楼，常病不出园，大病直通车”的三级医疗体系，为园区内的老人提供了充分的健康医疗保障。 服务方面，康宁津园依托于天津旅游集团在服务产业上的巨大优势，参照五星级酒店服务的紫金品质，创建管家、秘书、服务员构成的“三层呵护”服务体系，以园内六大岛区为阵地，为园区内的老人提供无忧服务。</w:t>
      </w:r>
    </w:p>
    <w:p w14:paraId="7CDB99A6" w14:textId="7777777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 xml:space="preserve">收费模式：会费+年费（可继承、转让。年费包含通讯、月租、取暖、制冷、定额水电费、每年一份人身意外伤害险，其余餐费、医疗费等服务费用自理永久使用权。）                                        </w:t>
      </w:r>
    </w:p>
    <w:p w14:paraId="0FA2810D" w14:textId="77777777"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t xml:space="preserve"> 3、卓达太阳城项目：</w:t>
      </w:r>
    </w:p>
    <w:p w14:paraId="3DBE8CE4" w14:textId="6C7BC041" w:rsidR="008F5798" w:rsidRPr="00267178" w:rsidRDefault="008F5798" w:rsidP="002A2DB5">
      <w:pPr>
        <w:autoSpaceDE w:val="0"/>
        <w:autoSpaceDN w:val="0"/>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项目总体规划占地约11000亩，规划总建筑面1300万平米，总投资200亿元。目前一期占地412亩。民营。天津卓达太阳城项目是由卓达集团投资开发，并与民政部、中国老龄事业发展基金会、中国养老产业联盟密切合作的集养老、文化、生态休闲、健康、教育等于一体的辐射京津地区的大型卫星城。“全龄化卓达养生五心标准”为核心，打造0330绿色医疗通道、个人化照护管理服务、百项社团活动、银发快乐养心方案等18项特色服务。收费模式：单人间：孝尊卡，会员费10万，月服务费1000元，可免费享受服务标准7000元/月，尊享单人间孝尊照护服务。双人间：1）孝亲卡：会员费60万，月服务费2000元，可免费享受服务标准5000元/月，尊享双人间孝亲照护服务。2）孝心卡：会员费40万，月服务费3000元，可免费享受服务标准5000元/月，尊享双人间孝心照护服务。</w:t>
      </w:r>
    </w:p>
    <w:p w14:paraId="312D5A49" w14:textId="30C7E6AB" w:rsidR="00F11B54" w:rsidRPr="002A2DB5" w:rsidRDefault="00B63664" w:rsidP="002A2DB5">
      <w:pPr>
        <w:pStyle w:val="1"/>
        <w:spacing w:line="360" w:lineRule="auto"/>
        <w:rPr>
          <w:rFonts w:ascii="FangSong" w:eastAsia="FangSong" w:hAnsi="FangSong"/>
        </w:rPr>
      </w:pPr>
      <w:bookmarkStart w:id="26" w:name="_Toc24893529"/>
      <w:r w:rsidRPr="002A2DB5">
        <w:rPr>
          <w:rFonts w:ascii="FangSong" w:eastAsia="FangSong" w:hAnsi="FangSong" w:hint="eastAsia"/>
        </w:rPr>
        <w:lastRenderedPageBreak/>
        <w:t>八、</w:t>
      </w:r>
      <w:r w:rsidR="00F11B54" w:rsidRPr="002A2DB5">
        <w:rPr>
          <w:rFonts w:ascii="FangSong" w:eastAsia="FangSong" w:hAnsi="FangSong" w:hint="eastAsia"/>
        </w:rPr>
        <w:t>商业模式</w:t>
      </w:r>
      <w:bookmarkEnd w:id="26"/>
    </w:p>
    <w:p w14:paraId="790F1DA2" w14:textId="1163F65B" w:rsidR="007A1369" w:rsidRPr="002A2DB5" w:rsidRDefault="007A1369" w:rsidP="002A2DB5">
      <w:pPr>
        <w:pStyle w:val="2"/>
        <w:spacing w:line="360" w:lineRule="auto"/>
        <w:rPr>
          <w:rFonts w:ascii="FangSong" w:eastAsia="FangSong" w:hAnsi="FangSong"/>
        </w:rPr>
      </w:pPr>
      <w:bookmarkStart w:id="27" w:name="_Toc24893530"/>
      <w:r w:rsidRPr="002A2DB5">
        <w:rPr>
          <w:rFonts w:ascii="FangSong" w:eastAsia="FangSong" w:hAnsi="FangSong" w:hint="eastAsia"/>
        </w:rPr>
        <w:t>8.1商业模式</w:t>
      </w:r>
      <w:bookmarkEnd w:id="27"/>
    </w:p>
    <w:p w14:paraId="1E12C6F8" w14:textId="7FAA0A3E" w:rsidR="003C5B3E" w:rsidRPr="002A2DB5" w:rsidRDefault="00C26275" w:rsidP="002A2DB5">
      <w:pPr>
        <w:spacing w:line="360" w:lineRule="auto"/>
        <w:rPr>
          <w:rFonts w:ascii="FangSong" w:eastAsia="FangSong" w:hAnsi="FangSong"/>
          <w:highlight w:val="yellow"/>
        </w:rPr>
      </w:pPr>
      <w:r w:rsidRPr="002A2DB5">
        <w:rPr>
          <w:rFonts w:ascii="FangSong" w:eastAsia="FangSong" w:hAnsi="FangSong" w:hint="eastAsia"/>
          <w:noProof/>
        </w:rPr>
        <w:drawing>
          <wp:inline distT="0" distB="0" distL="0" distR="0" wp14:anchorId="3957EF20" wp14:editId="0D08644E">
            <wp:extent cx="5270500" cy="3103880"/>
            <wp:effectExtent l="0" t="0" r="1270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屏幕快照 2019-10-30 下午6.29.53.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3103880"/>
                    </a:xfrm>
                    <a:prstGeom prst="rect">
                      <a:avLst/>
                    </a:prstGeom>
                  </pic:spPr>
                </pic:pic>
              </a:graphicData>
            </a:graphic>
          </wp:inline>
        </w:drawing>
      </w:r>
    </w:p>
    <w:p w14:paraId="4AD173D5" w14:textId="42EECB3D" w:rsidR="007A1369" w:rsidRPr="002A2DB5" w:rsidRDefault="007A1369" w:rsidP="002A2DB5">
      <w:pPr>
        <w:pStyle w:val="2"/>
        <w:spacing w:line="360" w:lineRule="auto"/>
        <w:rPr>
          <w:rFonts w:ascii="FangSong" w:eastAsia="FangSong" w:hAnsi="FangSong"/>
        </w:rPr>
      </w:pPr>
      <w:bookmarkStart w:id="28" w:name="_Toc24893531"/>
      <w:r w:rsidRPr="002A2DB5">
        <w:rPr>
          <w:rFonts w:ascii="FangSong" w:eastAsia="FangSong" w:hAnsi="FangSong" w:hint="eastAsia"/>
        </w:rPr>
        <w:t>8.2盈利模式</w:t>
      </w:r>
      <w:bookmarkEnd w:id="28"/>
    </w:p>
    <w:p w14:paraId="2B174FD2" w14:textId="683681AA" w:rsidR="003C5B3E" w:rsidRPr="00267178" w:rsidRDefault="003C5B3E" w:rsidP="002A2DB5">
      <w:pPr>
        <w:spacing w:line="360" w:lineRule="auto"/>
        <w:rPr>
          <w:rFonts w:ascii="FangSong" w:eastAsia="FangSong" w:hAnsi="FangSong"/>
          <w:sz w:val="28"/>
          <w:szCs w:val="28"/>
        </w:rPr>
      </w:pPr>
      <w:r w:rsidRPr="00267178">
        <w:rPr>
          <w:rFonts w:ascii="FangSong" w:eastAsia="FangSong" w:hAnsi="FangSong" w:hint="eastAsia"/>
          <w:sz w:val="28"/>
          <w:szCs w:val="28"/>
        </w:rPr>
        <w:t>1、土地盈利：以养老地产获取廉价土地成本，本</w:t>
      </w:r>
      <w:r w:rsidR="00C26275" w:rsidRPr="00267178">
        <w:rPr>
          <w:rFonts w:ascii="FangSong" w:eastAsia="FangSong" w:hAnsi="FangSong" w:hint="eastAsia"/>
          <w:sz w:val="28"/>
          <w:szCs w:val="28"/>
        </w:rPr>
        <w:t>质是房地产开发；锁定养老和适老为卖点，市场上细分倾向于老人居住；</w:t>
      </w:r>
    </w:p>
    <w:p w14:paraId="56B6B2A3" w14:textId="4EDDF499" w:rsidR="003C5B3E" w:rsidRPr="00267178" w:rsidRDefault="003C5B3E" w:rsidP="002A2DB5">
      <w:pPr>
        <w:spacing w:line="360" w:lineRule="auto"/>
        <w:rPr>
          <w:rFonts w:ascii="FangSong" w:eastAsia="FangSong" w:hAnsi="FangSong"/>
          <w:sz w:val="28"/>
          <w:szCs w:val="28"/>
        </w:rPr>
      </w:pPr>
      <w:r w:rsidRPr="00267178">
        <w:rPr>
          <w:rFonts w:ascii="FangSong" w:eastAsia="FangSong" w:hAnsi="FangSong" w:hint="eastAsia"/>
          <w:sz w:val="28"/>
          <w:szCs w:val="28"/>
        </w:rPr>
        <w:t>2、配套盈利：通过养老配套的完善，提升项目竞争力，当社区成熟后，养老文化的形成，社区聚集的圈层效益，均有利于提升物业价值；</w:t>
      </w:r>
    </w:p>
    <w:p w14:paraId="3B267EDF" w14:textId="15245346" w:rsidR="003C5B3E" w:rsidRPr="00267178" w:rsidRDefault="003C5B3E" w:rsidP="002A2DB5">
      <w:pPr>
        <w:spacing w:line="360" w:lineRule="auto"/>
        <w:rPr>
          <w:rFonts w:ascii="FangSong" w:eastAsia="FangSong" w:hAnsi="FangSong"/>
          <w:sz w:val="28"/>
          <w:szCs w:val="28"/>
        </w:rPr>
      </w:pPr>
      <w:r w:rsidRPr="00267178">
        <w:rPr>
          <w:rFonts w:ascii="FangSong" w:eastAsia="FangSong" w:hAnsi="FangSong" w:hint="eastAsia"/>
          <w:sz w:val="28"/>
          <w:szCs w:val="28"/>
        </w:rPr>
        <w:t>3、服务盈利：以服务和设施作为养老地产项目的核心，通过细分市场，研究老年人的活动规划，进行有针对性的设计，形成成熟的服务体系，管理体系；</w:t>
      </w:r>
    </w:p>
    <w:p w14:paraId="40049856" w14:textId="0E1950D2" w:rsidR="007A1369" w:rsidRPr="00267178" w:rsidRDefault="003C5B3E" w:rsidP="002A2DB5">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4、产品盈利：以老年人需求为中心，开发相应的产品和提供相应的服务，通过老年超市或老年用品展销中心等渠道，让老年人买到自己真正需要的产品，引导老年人的健康生活。</w:t>
      </w:r>
    </w:p>
    <w:p w14:paraId="23FC8569" w14:textId="281FEE58" w:rsidR="00C8001C" w:rsidRPr="002A2DB5" w:rsidRDefault="00B63664" w:rsidP="002A2DB5">
      <w:pPr>
        <w:pStyle w:val="1"/>
        <w:spacing w:line="360" w:lineRule="auto"/>
        <w:rPr>
          <w:rFonts w:ascii="FangSong" w:eastAsia="FangSong" w:hAnsi="FangSong"/>
        </w:rPr>
      </w:pPr>
      <w:bookmarkStart w:id="29" w:name="_Toc24893532"/>
      <w:r w:rsidRPr="002A2DB5">
        <w:rPr>
          <w:rFonts w:ascii="FangSong" w:eastAsia="FangSong" w:hAnsi="FangSong" w:hint="eastAsia"/>
        </w:rPr>
        <w:t>九、</w:t>
      </w:r>
      <w:r w:rsidR="00C8001C" w:rsidRPr="002A2DB5">
        <w:rPr>
          <w:rFonts w:ascii="FangSong" w:eastAsia="FangSong" w:hAnsi="FangSong" w:hint="eastAsia"/>
        </w:rPr>
        <w:t>营销</w:t>
      </w:r>
      <w:r w:rsidR="00E46C14" w:rsidRPr="002A2DB5">
        <w:rPr>
          <w:rFonts w:ascii="FangSong" w:eastAsia="FangSong" w:hAnsi="FangSong" w:hint="eastAsia"/>
        </w:rPr>
        <w:t>推广</w:t>
      </w:r>
      <w:bookmarkEnd w:id="29"/>
    </w:p>
    <w:p w14:paraId="41CDD8AE" w14:textId="6A1D5AF6" w:rsidR="00D82067" w:rsidRPr="002A2DB5" w:rsidRDefault="00D82067" w:rsidP="002A2DB5">
      <w:pPr>
        <w:pStyle w:val="2"/>
        <w:spacing w:line="360" w:lineRule="auto"/>
        <w:rPr>
          <w:rFonts w:ascii="FangSong" w:eastAsia="FangSong" w:hAnsi="FangSong"/>
        </w:rPr>
      </w:pPr>
      <w:bookmarkStart w:id="30" w:name="_Toc24893533"/>
      <w:r w:rsidRPr="002A2DB5">
        <w:rPr>
          <w:rFonts w:ascii="FangSong" w:eastAsia="FangSong" w:hAnsi="FangSong" w:hint="eastAsia"/>
        </w:rPr>
        <w:t>9.1营销方案</w:t>
      </w:r>
      <w:bookmarkEnd w:id="30"/>
    </w:p>
    <w:p w14:paraId="10FE5205"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1、积累客户</w:t>
      </w:r>
    </w:p>
    <w:p w14:paraId="079D563F"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问卷形式积累客户；</w:t>
      </w:r>
    </w:p>
    <w:p w14:paraId="3A026CDA"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派单留名片积累客户；</w:t>
      </w:r>
    </w:p>
    <w:p w14:paraId="0A16C95B"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展会积累客户；</w:t>
      </w:r>
    </w:p>
    <w:p w14:paraId="27375997"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共享资料电话追踪积累客户；</w:t>
      </w:r>
    </w:p>
    <w:p w14:paraId="1174ABCF"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现场电话与接待积累客户；</w:t>
      </w:r>
    </w:p>
    <w:p w14:paraId="43EFCF48"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搞活动送小礼品积累客户；</w:t>
      </w:r>
    </w:p>
    <w:p w14:paraId="61EFE801"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产品推介会，登记意向客户；</w:t>
      </w:r>
    </w:p>
    <w:p w14:paraId="4BA448F4"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做样板房，邀约意向客户，进行统计摸排等；</w:t>
      </w:r>
    </w:p>
    <w:p w14:paraId="788F8344" w14:textId="7E303A11"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召开产品研讨会、座谈会、与养老养生相关的讲座，邀约退休干部</w:t>
      </w:r>
      <w:r w:rsidR="00FD0FB2">
        <w:rPr>
          <w:rFonts w:ascii="FangSong" w:eastAsia="FangSong" w:hAnsi="FangSong" w:hint="eastAsia"/>
          <w:sz w:val="28"/>
          <w:szCs w:val="28"/>
        </w:rPr>
        <w:t>、意见领袖、知名养老养生专家或老年病专家进行口碑宣传、打开知名度</w:t>
      </w:r>
      <w:r w:rsidRPr="00267178">
        <w:rPr>
          <w:rFonts w:ascii="FangSong" w:eastAsia="FangSong" w:hAnsi="FangSong" w:hint="eastAsia"/>
          <w:sz w:val="28"/>
          <w:szCs w:val="28"/>
        </w:rPr>
        <w:t>；</w:t>
      </w:r>
    </w:p>
    <w:p w14:paraId="34ABC49C"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填写客户意向登记表，根据客户意向登记进行先后追踪；</w:t>
      </w:r>
    </w:p>
    <w:p w14:paraId="3CA266B8" w14:textId="77777777" w:rsidR="00D82067" w:rsidRPr="00267178" w:rsidRDefault="00D82067" w:rsidP="00122C2C">
      <w:pPr>
        <w:pStyle w:val="a3"/>
        <w:numPr>
          <w:ilvl w:val="0"/>
          <w:numId w:val="1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全民选拔项目形象代言人，进行市场预热，收集意向客户信息；</w:t>
      </w:r>
    </w:p>
    <w:p w14:paraId="3D4B76B6" w14:textId="77777777" w:rsidR="00D82067" w:rsidRPr="00267178" w:rsidRDefault="00D82067" w:rsidP="00122C2C">
      <w:pPr>
        <w:pStyle w:val="a3"/>
        <w:numPr>
          <w:ilvl w:val="0"/>
          <w:numId w:val="20"/>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明确营销部门主要职责</w:t>
      </w:r>
    </w:p>
    <w:p w14:paraId="1316041A"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1）客户分析：</w:t>
      </w:r>
    </w:p>
    <w:p w14:paraId="4EA82712" w14:textId="77777777" w:rsidR="00D82067" w:rsidRPr="00267178" w:rsidRDefault="00D82067" w:rsidP="00122C2C">
      <w:pPr>
        <w:pStyle w:val="a3"/>
        <w:numPr>
          <w:ilvl w:val="0"/>
          <w:numId w:val="21"/>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现场客户的接待和跟踪：包括日常工作表格的填写和客户档案的建立；</w:t>
      </w:r>
    </w:p>
    <w:p w14:paraId="23EFBE46" w14:textId="77777777" w:rsidR="00D82067" w:rsidRPr="00267178" w:rsidRDefault="00D82067" w:rsidP="00122C2C">
      <w:pPr>
        <w:pStyle w:val="a3"/>
        <w:numPr>
          <w:ilvl w:val="0"/>
          <w:numId w:val="21"/>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各种媒体广告效果（来电、来访状况）分析；</w:t>
      </w:r>
    </w:p>
    <w:p w14:paraId="3F634A03" w14:textId="77777777" w:rsidR="00D82067" w:rsidRPr="00267178" w:rsidRDefault="00D82067" w:rsidP="00122C2C">
      <w:pPr>
        <w:pStyle w:val="a3"/>
        <w:numPr>
          <w:ilvl w:val="0"/>
          <w:numId w:val="21"/>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每周、每月销售（蓄客）情况分析；</w:t>
      </w:r>
    </w:p>
    <w:p w14:paraId="5F1B32F9" w14:textId="77777777" w:rsidR="00D82067" w:rsidRPr="00267178" w:rsidRDefault="00D82067" w:rsidP="00122C2C">
      <w:pPr>
        <w:pStyle w:val="a3"/>
        <w:numPr>
          <w:ilvl w:val="0"/>
          <w:numId w:val="21"/>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下一阶段销售计划安排与建议；</w:t>
      </w:r>
    </w:p>
    <w:p w14:paraId="317F6B27"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2）价格制定与价格控制：</w:t>
      </w:r>
    </w:p>
    <w:p w14:paraId="003E71D7" w14:textId="77777777" w:rsidR="00D82067" w:rsidRPr="00267178" w:rsidRDefault="00D82067" w:rsidP="00122C2C">
      <w:pPr>
        <w:pStyle w:val="a3"/>
        <w:numPr>
          <w:ilvl w:val="0"/>
          <w:numId w:val="22"/>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根据市场调查和蓄客情况，进行详细的价格制定；</w:t>
      </w:r>
    </w:p>
    <w:p w14:paraId="76A20132" w14:textId="77777777" w:rsidR="00D82067" w:rsidRPr="00267178" w:rsidRDefault="00D82067" w:rsidP="00122C2C">
      <w:pPr>
        <w:pStyle w:val="a3"/>
        <w:numPr>
          <w:ilvl w:val="0"/>
          <w:numId w:val="22"/>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付款方式的确定；</w:t>
      </w:r>
    </w:p>
    <w:p w14:paraId="4014CEEE" w14:textId="77777777" w:rsidR="00D82067" w:rsidRPr="00267178" w:rsidRDefault="00D82067" w:rsidP="00122C2C">
      <w:pPr>
        <w:pStyle w:val="a3"/>
        <w:numPr>
          <w:ilvl w:val="0"/>
          <w:numId w:val="22"/>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优惠折扣的条件和方式；</w:t>
      </w:r>
    </w:p>
    <w:p w14:paraId="79535ABF" w14:textId="77777777" w:rsidR="00D82067" w:rsidRPr="00267178" w:rsidRDefault="00D82067" w:rsidP="00122C2C">
      <w:pPr>
        <w:pStyle w:val="a3"/>
        <w:numPr>
          <w:ilvl w:val="0"/>
          <w:numId w:val="22"/>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销售人员、销售经理等各级人员的让价空间和权责范围。</w:t>
      </w:r>
    </w:p>
    <w:p w14:paraId="0DCD4CDF"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3）宣传物料制作与发布：</w:t>
      </w:r>
    </w:p>
    <w:p w14:paraId="180AC7AD" w14:textId="77777777" w:rsidR="00D82067" w:rsidRPr="00267178" w:rsidRDefault="00D82067" w:rsidP="00122C2C">
      <w:pPr>
        <w:pStyle w:val="a3"/>
        <w:numPr>
          <w:ilvl w:val="0"/>
          <w:numId w:val="2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制作项目资料及效果图，完成项目沙盘模型、单体模型、透视模型，完成项目接待展示中心的布置与美化；</w:t>
      </w:r>
    </w:p>
    <w:p w14:paraId="709B0851" w14:textId="77777777" w:rsidR="00D82067" w:rsidRPr="00267178" w:rsidRDefault="00D82067" w:rsidP="00122C2C">
      <w:pPr>
        <w:pStyle w:val="a3"/>
        <w:numPr>
          <w:ilvl w:val="0"/>
          <w:numId w:val="2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施工</w:t>
      </w:r>
      <w:r w:rsidRPr="00267178">
        <w:rPr>
          <w:rFonts w:ascii="FangSong" w:eastAsia="FangSong" w:hAnsi="FangSong"/>
          <w:sz w:val="28"/>
          <w:szCs w:val="28"/>
        </w:rPr>
        <w:t>现场</w:t>
      </w:r>
      <w:r w:rsidRPr="00267178">
        <w:rPr>
          <w:rFonts w:ascii="FangSong" w:eastAsia="FangSong" w:hAnsi="FangSong" w:hint="eastAsia"/>
          <w:sz w:val="28"/>
          <w:szCs w:val="28"/>
        </w:rPr>
        <w:t>清理美化；</w:t>
      </w:r>
    </w:p>
    <w:p w14:paraId="069B0EC7" w14:textId="77777777" w:rsidR="00D82067" w:rsidRPr="00267178" w:rsidRDefault="00D82067" w:rsidP="00122C2C">
      <w:pPr>
        <w:pStyle w:val="a3"/>
        <w:numPr>
          <w:ilvl w:val="0"/>
          <w:numId w:val="23"/>
        </w:numPr>
        <w:spacing w:line="360" w:lineRule="auto"/>
        <w:ind w:firstLineChars="0"/>
        <w:rPr>
          <w:rFonts w:ascii="FangSong" w:eastAsia="FangSong" w:hAnsi="FangSong"/>
          <w:sz w:val="28"/>
          <w:szCs w:val="28"/>
        </w:rPr>
      </w:pPr>
      <w:r w:rsidRPr="00267178">
        <w:rPr>
          <w:rFonts w:ascii="FangSong" w:eastAsia="FangSong" w:hAnsi="FangSong"/>
          <w:sz w:val="28"/>
          <w:szCs w:val="28"/>
        </w:rPr>
        <w:t>项</w:t>
      </w:r>
      <w:r w:rsidRPr="00267178">
        <w:rPr>
          <w:rFonts w:ascii="FangSong" w:eastAsia="FangSong" w:hAnsi="FangSong" w:hint="eastAsia"/>
          <w:sz w:val="28"/>
          <w:szCs w:val="28"/>
        </w:rPr>
        <w:t>目展板、展牌的发布；</w:t>
      </w:r>
    </w:p>
    <w:p w14:paraId="0592ABCF" w14:textId="77777777" w:rsidR="00D82067" w:rsidRPr="00267178" w:rsidRDefault="00D82067" w:rsidP="00122C2C">
      <w:pPr>
        <w:pStyle w:val="a3"/>
        <w:numPr>
          <w:ilvl w:val="0"/>
          <w:numId w:val="2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网络、路牌广告、户外广告的发布；</w:t>
      </w:r>
    </w:p>
    <w:p w14:paraId="66D5CA8F" w14:textId="77777777" w:rsidR="00D82067" w:rsidRPr="00267178" w:rsidRDefault="00D82067" w:rsidP="00122C2C">
      <w:pPr>
        <w:pStyle w:val="a3"/>
        <w:numPr>
          <w:ilvl w:val="0"/>
          <w:numId w:val="23"/>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围墙广告、户外广告及车身广告的发布。</w:t>
      </w:r>
    </w:p>
    <w:p w14:paraId="32C8D027"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4）销售实战培训：</w:t>
      </w:r>
    </w:p>
    <w:p w14:paraId="5CE639D7"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项目统一说辞及内部培训资料（销售手册）编制完成；</w:t>
      </w:r>
    </w:p>
    <w:p w14:paraId="0745C680"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销售人员系统培训（产品、规划、竞争对手分析、市场抗性应对</w:t>
      </w:r>
      <w:r w:rsidRPr="00267178">
        <w:rPr>
          <w:rFonts w:ascii="FangSong" w:eastAsia="FangSong" w:hAnsi="FangSong" w:hint="eastAsia"/>
          <w:sz w:val="28"/>
          <w:szCs w:val="28"/>
        </w:rPr>
        <w:lastRenderedPageBreak/>
        <w:t>说辞培训）；</w:t>
      </w:r>
    </w:p>
    <w:p w14:paraId="1ADCC45D"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蓄客期工作内容培训及工作执行表格培训；</w:t>
      </w:r>
    </w:p>
    <w:p w14:paraId="2265EF8A"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销售工作内容培训、分工、演练；</w:t>
      </w:r>
    </w:p>
    <w:p w14:paraId="3BA34D1C"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谈判技巧演练：包括处理客户异议、议价与守价、促成技巧；</w:t>
      </w:r>
    </w:p>
    <w:p w14:paraId="02D20C0F" w14:textId="77777777" w:rsidR="00D82067" w:rsidRPr="00267178" w:rsidRDefault="00D82067" w:rsidP="00122C2C">
      <w:pPr>
        <w:pStyle w:val="a3"/>
        <w:numPr>
          <w:ilvl w:val="0"/>
          <w:numId w:val="24"/>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签约流程培训：主要通过模拟签约的方式来熟悉流程。</w:t>
      </w:r>
    </w:p>
    <w:p w14:paraId="4F25499B"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5）整体推广营销计划：</w:t>
      </w:r>
    </w:p>
    <w:p w14:paraId="648594F4" w14:textId="77777777" w:rsidR="00D82067" w:rsidRPr="00267178" w:rsidRDefault="00D82067" w:rsidP="00122C2C">
      <w:pPr>
        <w:pStyle w:val="a3"/>
        <w:numPr>
          <w:ilvl w:val="0"/>
          <w:numId w:val="25"/>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开业方式、时间；</w:t>
      </w:r>
    </w:p>
    <w:p w14:paraId="73B036B8" w14:textId="77777777" w:rsidR="00D82067" w:rsidRPr="00267178" w:rsidRDefault="00D82067" w:rsidP="00122C2C">
      <w:pPr>
        <w:pStyle w:val="a3"/>
        <w:numPr>
          <w:ilvl w:val="0"/>
          <w:numId w:val="25"/>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宣传推广方式、周期；</w:t>
      </w:r>
    </w:p>
    <w:p w14:paraId="4A302821" w14:textId="77777777" w:rsidR="00D82067" w:rsidRPr="00267178" w:rsidRDefault="00D82067" w:rsidP="00122C2C">
      <w:pPr>
        <w:pStyle w:val="a3"/>
        <w:numPr>
          <w:ilvl w:val="0"/>
          <w:numId w:val="25"/>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宣传、蓄客及销售各阶段目标；</w:t>
      </w:r>
    </w:p>
    <w:p w14:paraId="34805A6C" w14:textId="77777777" w:rsidR="00D82067" w:rsidRPr="00267178" w:rsidRDefault="00D82067" w:rsidP="00122C2C">
      <w:pPr>
        <w:pStyle w:val="a3"/>
        <w:numPr>
          <w:ilvl w:val="0"/>
          <w:numId w:val="25"/>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蓄客方式和周期。</w:t>
      </w:r>
    </w:p>
    <w:p w14:paraId="3B19B24F" w14:textId="77777777" w:rsidR="00D82067" w:rsidRPr="00267178" w:rsidRDefault="00D82067" w:rsidP="002A2DB5">
      <w:pPr>
        <w:spacing w:line="360" w:lineRule="auto"/>
        <w:rPr>
          <w:rFonts w:ascii="FangSong" w:eastAsia="FangSong" w:hAnsi="FangSong"/>
          <w:sz w:val="28"/>
          <w:szCs w:val="28"/>
        </w:rPr>
      </w:pPr>
      <w:r w:rsidRPr="00267178">
        <w:rPr>
          <w:rFonts w:ascii="FangSong" w:eastAsia="FangSong" w:hAnsi="FangSong" w:hint="eastAsia"/>
          <w:sz w:val="28"/>
          <w:szCs w:val="28"/>
        </w:rPr>
        <w:t>6）蓄客期需要注意事项：</w:t>
      </w:r>
    </w:p>
    <w:p w14:paraId="63DA48B4" w14:textId="77777777" w:rsidR="00D82067" w:rsidRPr="00267178" w:rsidRDefault="00D82067" w:rsidP="00122C2C">
      <w:pPr>
        <w:pStyle w:val="a3"/>
        <w:numPr>
          <w:ilvl w:val="0"/>
          <w:numId w:val="26"/>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现场业务销售方向、方式若有不顺畅者要及时修正；</w:t>
      </w:r>
    </w:p>
    <w:p w14:paraId="48241096" w14:textId="77777777" w:rsidR="00D82067" w:rsidRPr="00267178" w:rsidRDefault="00D82067" w:rsidP="00122C2C">
      <w:pPr>
        <w:pStyle w:val="a3"/>
        <w:numPr>
          <w:ilvl w:val="0"/>
          <w:numId w:val="26"/>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不定期举行营销与企业设计部门会议，对来人、来电、区域及前期工作效果予以分析，决定是否修正推广策略；</w:t>
      </w:r>
    </w:p>
    <w:p w14:paraId="2A9D1340" w14:textId="77777777" w:rsidR="00D82067" w:rsidRPr="00267178" w:rsidRDefault="00D82067" w:rsidP="00122C2C">
      <w:pPr>
        <w:pStyle w:val="a3"/>
        <w:numPr>
          <w:ilvl w:val="0"/>
          <w:numId w:val="26"/>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定期由项目负责人或营销部召开销售人员会议，振奋士气；</w:t>
      </w:r>
    </w:p>
    <w:p w14:paraId="66F84009" w14:textId="77777777" w:rsidR="00D82067" w:rsidRPr="00267178" w:rsidRDefault="00D82067" w:rsidP="00122C2C">
      <w:pPr>
        <w:pStyle w:val="a3"/>
        <w:numPr>
          <w:ilvl w:val="0"/>
          <w:numId w:val="26"/>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注意项目现场的气氛营造等；</w:t>
      </w:r>
    </w:p>
    <w:p w14:paraId="4C9D18D1" w14:textId="6AF858EA" w:rsidR="00D82067" w:rsidRPr="00267178" w:rsidRDefault="00D82067" w:rsidP="00122C2C">
      <w:pPr>
        <w:pStyle w:val="a3"/>
        <w:numPr>
          <w:ilvl w:val="0"/>
          <w:numId w:val="26"/>
        </w:numPr>
        <w:spacing w:line="360" w:lineRule="auto"/>
        <w:ind w:firstLineChars="0"/>
        <w:rPr>
          <w:rFonts w:ascii="FangSong" w:eastAsia="FangSong" w:hAnsi="FangSong"/>
          <w:sz w:val="28"/>
          <w:szCs w:val="28"/>
        </w:rPr>
      </w:pPr>
      <w:r w:rsidRPr="00267178">
        <w:rPr>
          <w:rFonts w:ascii="FangSong" w:eastAsia="FangSong" w:hAnsi="FangSong" w:hint="eastAsia"/>
          <w:sz w:val="28"/>
          <w:szCs w:val="28"/>
        </w:rPr>
        <w:t>针对项目各类产品的市场接受情况进行适当的价格调整。</w:t>
      </w:r>
    </w:p>
    <w:p w14:paraId="20956985" w14:textId="1C342C4C" w:rsidR="00546097" w:rsidRPr="002A2DB5" w:rsidRDefault="00031FD5" w:rsidP="002A2DB5">
      <w:pPr>
        <w:pStyle w:val="2"/>
        <w:spacing w:line="360" w:lineRule="auto"/>
        <w:rPr>
          <w:rFonts w:ascii="FangSong" w:eastAsia="FangSong" w:hAnsi="FangSong"/>
        </w:rPr>
      </w:pPr>
      <w:bookmarkStart w:id="31" w:name="_Toc24893534"/>
      <w:r w:rsidRPr="002A2DB5">
        <w:rPr>
          <w:rFonts w:ascii="FangSong" w:eastAsia="FangSong" w:hAnsi="FangSong" w:hint="eastAsia"/>
        </w:rPr>
        <w:t>9</w:t>
      </w:r>
      <w:r w:rsidR="00D82067" w:rsidRPr="002A2DB5">
        <w:rPr>
          <w:rFonts w:ascii="FangSong" w:eastAsia="FangSong" w:hAnsi="FangSong" w:hint="eastAsia"/>
        </w:rPr>
        <w:t>.2</w:t>
      </w:r>
      <w:r w:rsidR="006A6673" w:rsidRPr="002A2DB5">
        <w:rPr>
          <w:rFonts w:ascii="FangSong" w:eastAsia="FangSong" w:hAnsi="FangSong" w:hint="eastAsia"/>
        </w:rPr>
        <w:t>营销策略</w:t>
      </w:r>
      <w:bookmarkEnd w:id="31"/>
    </w:p>
    <w:p w14:paraId="799812D0" w14:textId="6B65D9DA" w:rsidR="00546097" w:rsidRPr="00267178" w:rsidRDefault="00546097" w:rsidP="002A2DB5">
      <w:pPr>
        <w:spacing w:line="360" w:lineRule="auto"/>
        <w:rPr>
          <w:rFonts w:ascii="FangSong" w:eastAsia="FangSong" w:hAnsi="FangSong"/>
          <w:sz w:val="28"/>
          <w:szCs w:val="28"/>
        </w:rPr>
      </w:pPr>
      <w:r w:rsidRPr="00267178">
        <w:rPr>
          <w:rFonts w:ascii="FangSong" w:eastAsia="FangSong" w:hAnsi="FangSong" w:hint="eastAsia"/>
          <w:sz w:val="28"/>
          <w:szCs w:val="28"/>
        </w:rPr>
        <w:t>1、</w:t>
      </w:r>
      <w:r w:rsidR="002E5E9D">
        <w:rPr>
          <w:rFonts w:ascii="FangSong" w:eastAsia="FangSong" w:hAnsi="FangSong" w:hint="eastAsia"/>
          <w:sz w:val="28"/>
          <w:szCs w:val="28"/>
        </w:rPr>
        <w:t>部分产品</w:t>
      </w:r>
      <w:r w:rsidR="000E6A64" w:rsidRPr="00267178">
        <w:rPr>
          <w:rFonts w:ascii="FangSong" w:eastAsia="FangSong" w:hAnsi="FangSong"/>
          <w:sz w:val="28"/>
          <w:szCs w:val="28"/>
        </w:rPr>
        <w:t>以会员制销售：</w:t>
      </w:r>
      <w:r w:rsidR="00944EC4">
        <w:rPr>
          <w:rFonts w:ascii="FangSong" w:eastAsia="FangSong" w:hAnsi="FangSong" w:hint="eastAsia"/>
          <w:sz w:val="28"/>
          <w:szCs w:val="28"/>
        </w:rPr>
        <w:t>保证</w:t>
      </w:r>
      <w:r w:rsidR="000E6A64" w:rsidRPr="00267178">
        <w:rPr>
          <w:rFonts w:ascii="FangSong" w:eastAsia="FangSong" w:hAnsi="FangSong"/>
          <w:sz w:val="28"/>
          <w:szCs w:val="28"/>
        </w:rPr>
        <w:t>现金流之源</w:t>
      </w:r>
    </w:p>
    <w:p w14:paraId="0B525892" w14:textId="57CB77B2" w:rsidR="00ED36C1" w:rsidRPr="00267178" w:rsidRDefault="00ED36C1" w:rsidP="002A2DB5">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会员制模式是指投资运营商销售会员资格，并为会员提供全方位、多层次的养老服务，通过收取会员费和服务费实现</w:t>
      </w:r>
      <w:r w:rsidR="00D52D19">
        <w:rPr>
          <w:rFonts w:ascii="FangSong" w:eastAsia="FangSong" w:hAnsi="FangSong" w:hint="eastAsia"/>
          <w:sz w:val="28"/>
          <w:szCs w:val="28"/>
        </w:rPr>
        <w:t>持续</w:t>
      </w:r>
      <w:r w:rsidRPr="00267178">
        <w:rPr>
          <w:rFonts w:ascii="FangSong" w:eastAsia="FangSong" w:hAnsi="FangSong" w:hint="eastAsia"/>
          <w:sz w:val="28"/>
          <w:szCs w:val="28"/>
        </w:rPr>
        <w:t>盈利。这种模式以运营商持有物业为基础，以提供养老服务为核心。</w:t>
      </w:r>
    </w:p>
    <w:p w14:paraId="711CA2B1" w14:textId="2CB273AF" w:rsidR="00ED36C1" w:rsidRPr="00267178" w:rsidRDefault="00ED36C1"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005C51C4">
        <w:rPr>
          <w:rFonts w:ascii="FangSong" w:eastAsia="FangSong" w:hAnsi="FangSong" w:hint="eastAsia"/>
          <w:sz w:val="28"/>
          <w:szCs w:val="28"/>
        </w:rPr>
        <w:t>目前国内采用这种模式运营最为成功的为上海亲和源养老社区</w:t>
      </w:r>
      <w:r w:rsidRPr="00267178">
        <w:rPr>
          <w:rFonts w:ascii="FangSong" w:eastAsia="FangSong" w:hAnsi="FangSong" w:hint="eastAsia"/>
          <w:sz w:val="28"/>
          <w:szCs w:val="28"/>
        </w:rPr>
        <w:t>。</w:t>
      </w:r>
    </w:p>
    <w:p w14:paraId="3484B7B9" w14:textId="2D36FF5E" w:rsidR="00ED36C1" w:rsidRPr="00267178" w:rsidRDefault="00ED36C1" w:rsidP="002A2DB5">
      <w:pPr>
        <w:spacing w:line="360" w:lineRule="auto"/>
        <w:rPr>
          <w:rFonts w:ascii="FangSong" w:eastAsia="FangSong" w:hAnsi="FangSong"/>
          <w:sz w:val="28"/>
          <w:szCs w:val="28"/>
        </w:rPr>
      </w:pPr>
      <w:r w:rsidRPr="00267178">
        <w:rPr>
          <w:rFonts w:ascii="FangSong" w:eastAsia="FangSong" w:hAnsi="FangSong" w:hint="eastAsia"/>
          <w:sz w:val="28"/>
          <w:szCs w:val="28"/>
        </w:rPr>
        <w:t>2、</w:t>
      </w:r>
      <w:r w:rsidR="0093474C" w:rsidRPr="00267178">
        <w:rPr>
          <w:rFonts w:ascii="FangSong" w:eastAsia="FangSong" w:hAnsi="FangSong"/>
          <w:sz w:val="28"/>
          <w:szCs w:val="28"/>
        </w:rPr>
        <w:t>体验式营销：通过场景与用户建立连接</w:t>
      </w:r>
    </w:p>
    <w:p w14:paraId="31EF7C23" w14:textId="53138D0A" w:rsidR="0093474C" w:rsidRPr="00267178" w:rsidRDefault="0093474C"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根据老年人的消费特点，推出全新养老地产销售模式，在项目尚未完全开业开始就为老年人提供包括护理技术、分品类餐饮、健康管理、物业感受等多项该养老地产特色的高端体验服务。</w:t>
      </w:r>
      <w:r w:rsidR="005C51C4">
        <w:rPr>
          <w:rFonts w:ascii="FangSong" w:eastAsia="FangSong" w:hAnsi="FangSong" w:hint="eastAsia"/>
          <w:sz w:val="28"/>
          <w:szCs w:val="28"/>
        </w:rPr>
        <w:t>使客户在体验中感受项目服务接受服务，在此过程中再结合其他销售策略</w:t>
      </w:r>
      <w:r w:rsidRPr="00267178">
        <w:rPr>
          <w:rFonts w:ascii="FangSong" w:eastAsia="FangSong" w:hAnsi="FangSong" w:hint="eastAsia"/>
          <w:sz w:val="28"/>
          <w:szCs w:val="28"/>
        </w:rPr>
        <w:t>，让老年人及其家庭建立“眼见为实”的直观感受，并且迅速增加对项目的认同感，从而完成销售过程。从某种意义上说，体验式销售是最符合养老地产的客户感受销售周期的销售模式。</w:t>
      </w:r>
    </w:p>
    <w:p w14:paraId="22F8F0F4" w14:textId="09F992E9" w:rsidR="008B2214" w:rsidRPr="00267178" w:rsidRDefault="008B2214" w:rsidP="002A2DB5">
      <w:pPr>
        <w:spacing w:line="360" w:lineRule="auto"/>
        <w:rPr>
          <w:rFonts w:ascii="FangSong" w:eastAsia="FangSong" w:hAnsi="FangSong"/>
          <w:sz w:val="28"/>
          <w:szCs w:val="28"/>
        </w:rPr>
      </w:pPr>
      <w:r w:rsidRPr="00267178">
        <w:rPr>
          <w:rFonts w:ascii="FangSong" w:eastAsia="FangSong" w:hAnsi="FangSong" w:hint="eastAsia"/>
          <w:sz w:val="28"/>
          <w:szCs w:val="28"/>
        </w:rPr>
        <w:t>3、以圈层为依托营销：厘清传播途径，做好口碑营销</w:t>
      </w:r>
    </w:p>
    <w:p w14:paraId="5D321B62" w14:textId="3DDFAB71" w:rsidR="008B2214" w:rsidRPr="00267178" w:rsidRDefault="008B2214"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养老地产最有效的传播途径是口碑传播。选择养老地产项目，就是在选择一套完整的老年生活方式。老年人及掌握其养老话语权的子女都会谨慎相待。多年来的人生感受，使他们宁愿更相信熟人推荐和圈子里有公信力有话语权的评说。圈子效应随着老年人逐渐远离社会，会日益牢固。养老地产营销需抓住圈子里意见领袖，使之为我们使用，通过他们影响目标客户群体。</w:t>
      </w:r>
    </w:p>
    <w:p w14:paraId="3D1896EB" w14:textId="5276C6B0" w:rsidR="00031FD5" w:rsidRPr="00267178" w:rsidRDefault="00031FD5" w:rsidP="002A2DB5">
      <w:pPr>
        <w:spacing w:line="360" w:lineRule="auto"/>
        <w:rPr>
          <w:rFonts w:ascii="FangSong" w:eastAsia="FangSong" w:hAnsi="FangSong"/>
          <w:sz w:val="28"/>
          <w:szCs w:val="28"/>
        </w:rPr>
      </w:pPr>
      <w:r w:rsidRPr="00267178">
        <w:rPr>
          <w:rFonts w:ascii="FangSong" w:eastAsia="FangSong" w:hAnsi="FangSong" w:hint="eastAsia"/>
          <w:sz w:val="28"/>
          <w:szCs w:val="28"/>
        </w:rPr>
        <w:t>4、媒介宣传：阶段性传统及新兴媒体广告投放</w:t>
      </w:r>
    </w:p>
    <w:p w14:paraId="36EAAD62" w14:textId="22007447" w:rsidR="00D82067" w:rsidRPr="00267178" w:rsidRDefault="00031FD5" w:rsidP="002A2DB5">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随着地产商纷纷进入养老产业，地产商非常典型的广告投放策略也被引到养老地产项目中的营销中来，比如在报纸、杂志等传统媒体投放大版面广告。但据业内人士跟踪观察，广告投放、杂志等传统媒体投放一段时间后，后续效果会逐渐降低，故公司选择合适时机阶段性投放广告。依托网络媒体投放，如搜房网等，借力平台精准营销客户。</w:t>
      </w:r>
    </w:p>
    <w:p w14:paraId="06797A60" w14:textId="6555C310" w:rsidR="00D82067" w:rsidRPr="002A2DB5" w:rsidRDefault="00D82067" w:rsidP="002A2DB5">
      <w:pPr>
        <w:pStyle w:val="2"/>
        <w:spacing w:line="360" w:lineRule="auto"/>
        <w:rPr>
          <w:rFonts w:ascii="FangSong" w:eastAsia="FangSong" w:hAnsi="FangSong"/>
        </w:rPr>
      </w:pPr>
      <w:bookmarkStart w:id="32" w:name="_Toc24893535"/>
      <w:r w:rsidRPr="002A2DB5">
        <w:rPr>
          <w:rFonts w:ascii="FangSong" w:eastAsia="FangSong" w:hAnsi="FangSong" w:hint="eastAsia"/>
        </w:rPr>
        <w:t>9.3营销渠道</w:t>
      </w:r>
      <w:bookmarkEnd w:id="32"/>
    </w:p>
    <w:p w14:paraId="1198A948" w14:textId="26291F58" w:rsidR="00D82067" w:rsidRPr="00267178" w:rsidRDefault="00D82067" w:rsidP="002A2DB5">
      <w:pPr>
        <w:spacing w:line="360" w:lineRule="auto"/>
        <w:rPr>
          <w:rFonts w:ascii="FangSong" w:eastAsia="FangSong" w:hAnsi="FangSong"/>
          <w:sz w:val="28"/>
          <w:szCs w:val="28"/>
        </w:rPr>
      </w:pPr>
      <w:r w:rsidRPr="002A2DB5">
        <w:rPr>
          <w:rFonts w:ascii="FangSong" w:eastAsia="FangSong" w:hAnsi="FangSong" w:hint="eastAsia"/>
        </w:rPr>
        <w:t xml:space="preserve">   </w:t>
      </w:r>
      <w:r w:rsidRPr="00267178">
        <w:rPr>
          <w:rFonts w:ascii="FangSong" w:eastAsia="FangSong" w:hAnsi="FangSong" w:hint="eastAsia"/>
          <w:sz w:val="28"/>
          <w:szCs w:val="28"/>
        </w:rPr>
        <w:t xml:space="preserve"> </w:t>
      </w:r>
      <w:r w:rsidRPr="00267178">
        <w:rPr>
          <w:rFonts w:ascii="FangSong" w:eastAsia="FangSong" w:hAnsi="FangSong"/>
          <w:sz w:val="28"/>
          <w:szCs w:val="28"/>
        </w:rPr>
        <w:t>匹配公司发展定位和战略，通过线上线下结合的模式，进一步发展以下渠道：</w:t>
      </w:r>
    </w:p>
    <w:p w14:paraId="28A2D6F2" w14:textId="7AB5BE0E"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互联网平台：</w:t>
      </w:r>
      <w:r w:rsidRPr="00267178">
        <w:rPr>
          <w:rFonts w:ascii="FangSong" w:eastAsia="FangSong" w:hAnsi="FangSong" w:hint="eastAsia"/>
          <w:sz w:val="28"/>
          <w:szCs w:val="28"/>
        </w:rPr>
        <w:t>搜房网、</w:t>
      </w:r>
      <w:r w:rsidRPr="00267178">
        <w:rPr>
          <w:rFonts w:ascii="FangSong" w:eastAsia="FangSong" w:hAnsi="FangSong"/>
          <w:sz w:val="28"/>
          <w:szCs w:val="28"/>
        </w:rPr>
        <w:t>丁香医生、春雨医生等</w:t>
      </w:r>
      <w:r w:rsidRPr="00267178">
        <w:rPr>
          <w:rFonts w:ascii="FangSong" w:eastAsia="FangSong" w:hAnsi="FangSong" w:hint="eastAsia"/>
          <w:sz w:val="28"/>
          <w:szCs w:val="28"/>
        </w:rPr>
        <w:t>；</w:t>
      </w:r>
    </w:p>
    <w:p w14:paraId="0A1CC6B4" w14:textId="342B7E9D"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自媒体：微信公众号、微信小程序、今日头条、新浪微博等</w:t>
      </w:r>
      <w:r w:rsidRPr="00267178">
        <w:rPr>
          <w:rFonts w:ascii="FangSong" w:eastAsia="FangSong" w:hAnsi="FangSong" w:hint="eastAsia"/>
          <w:sz w:val="28"/>
          <w:szCs w:val="28"/>
        </w:rPr>
        <w:t>；</w:t>
      </w:r>
    </w:p>
    <w:p w14:paraId="0CFF9121" w14:textId="49C22E78"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行业协会：书法协会、高尔夫协会等</w:t>
      </w:r>
      <w:r w:rsidRPr="00267178">
        <w:rPr>
          <w:rFonts w:ascii="FangSong" w:eastAsia="FangSong" w:hAnsi="FangSong" w:hint="eastAsia"/>
          <w:sz w:val="28"/>
          <w:szCs w:val="28"/>
        </w:rPr>
        <w:t>；</w:t>
      </w:r>
    </w:p>
    <w:p w14:paraId="436F5922" w14:textId="595A9878"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生活媒体圈：影院、高端住宅电梯等</w:t>
      </w:r>
      <w:r w:rsidRPr="00267178">
        <w:rPr>
          <w:rFonts w:ascii="FangSong" w:eastAsia="FangSong" w:hAnsi="FangSong" w:hint="eastAsia"/>
          <w:sz w:val="28"/>
          <w:szCs w:val="28"/>
        </w:rPr>
        <w:t>；</w:t>
      </w:r>
    </w:p>
    <w:p w14:paraId="21BB4565" w14:textId="7269386F"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飞机刊物：头等舱、商务舱阅读刊物等</w:t>
      </w:r>
      <w:r w:rsidRPr="00267178">
        <w:rPr>
          <w:rFonts w:ascii="FangSong" w:eastAsia="FangSong" w:hAnsi="FangSong" w:hint="eastAsia"/>
          <w:sz w:val="28"/>
          <w:szCs w:val="28"/>
        </w:rPr>
        <w:t>；</w:t>
      </w:r>
    </w:p>
    <w:p w14:paraId="47047068" w14:textId="3FB027C3" w:rsidR="00D82067" w:rsidRPr="00267178" w:rsidRDefault="00D82067" w:rsidP="00122C2C">
      <w:pPr>
        <w:pStyle w:val="a3"/>
        <w:numPr>
          <w:ilvl w:val="0"/>
          <w:numId w:val="27"/>
        </w:numPr>
        <w:spacing w:line="360" w:lineRule="auto"/>
        <w:ind w:firstLineChars="0"/>
        <w:rPr>
          <w:rFonts w:ascii="FangSong" w:eastAsia="FangSong" w:hAnsi="FangSong"/>
          <w:sz w:val="28"/>
          <w:szCs w:val="28"/>
        </w:rPr>
      </w:pPr>
      <w:r w:rsidRPr="00267178">
        <w:rPr>
          <w:rFonts w:ascii="FangSong" w:eastAsia="FangSong" w:hAnsi="FangSong"/>
          <w:sz w:val="28"/>
          <w:szCs w:val="28"/>
        </w:rPr>
        <w:t>传统媒介：电话、邮件等</w:t>
      </w:r>
      <w:r w:rsidRPr="00267178">
        <w:rPr>
          <w:rFonts w:ascii="FangSong" w:eastAsia="FangSong" w:hAnsi="FangSong" w:hint="eastAsia"/>
          <w:sz w:val="28"/>
          <w:szCs w:val="28"/>
        </w:rPr>
        <w:t>。</w:t>
      </w:r>
    </w:p>
    <w:p w14:paraId="0F8C9AD8" w14:textId="372A1D7E" w:rsidR="00290CE5" w:rsidRPr="002A2DB5" w:rsidRDefault="00B63664" w:rsidP="002A2DB5">
      <w:pPr>
        <w:pStyle w:val="1"/>
        <w:spacing w:line="360" w:lineRule="auto"/>
        <w:rPr>
          <w:rFonts w:ascii="FangSong" w:eastAsia="FangSong" w:hAnsi="FangSong"/>
        </w:rPr>
      </w:pPr>
      <w:bookmarkStart w:id="33" w:name="_Toc24893536"/>
      <w:r w:rsidRPr="002A2DB5">
        <w:rPr>
          <w:rFonts w:ascii="FangSong" w:eastAsia="FangSong" w:hAnsi="FangSong" w:hint="eastAsia"/>
        </w:rPr>
        <w:t>十、</w:t>
      </w:r>
      <w:r w:rsidR="00494970" w:rsidRPr="002A2DB5">
        <w:rPr>
          <w:rFonts w:ascii="FangSong" w:eastAsia="FangSong" w:hAnsi="FangSong" w:hint="eastAsia"/>
        </w:rPr>
        <w:t>运营</w:t>
      </w:r>
      <w:r w:rsidR="00C8001C" w:rsidRPr="002A2DB5">
        <w:rPr>
          <w:rFonts w:ascii="FangSong" w:eastAsia="FangSong" w:hAnsi="FangSong" w:hint="eastAsia"/>
        </w:rPr>
        <w:t>管理</w:t>
      </w:r>
      <w:bookmarkEnd w:id="33"/>
    </w:p>
    <w:p w14:paraId="201CFEA0" w14:textId="09EBB8BF" w:rsidR="00290CE5" w:rsidRPr="002A2DB5" w:rsidRDefault="003A17BB" w:rsidP="002A2DB5">
      <w:pPr>
        <w:pStyle w:val="2"/>
        <w:spacing w:line="360" w:lineRule="auto"/>
        <w:rPr>
          <w:rFonts w:ascii="FangSong" w:eastAsia="FangSong" w:hAnsi="FangSong"/>
        </w:rPr>
      </w:pPr>
      <w:bookmarkStart w:id="34" w:name="_Toc24893537"/>
      <w:r w:rsidRPr="002A2DB5">
        <w:rPr>
          <w:rFonts w:ascii="FangSong" w:eastAsia="FangSong" w:hAnsi="FangSong" w:hint="eastAsia"/>
        </w:rPr>
        <w:t>10</w:t>
      </w:r>
      <w:r w:rsidR="00BC0664" w:rsidRPr="002A2DB5">
        <w:rPr>
          <w:rFonts w:ascii="FangSong" w:eastAsia="FangSong" w:hAnsi="FangSong" w:hint="eastAsia"/>
        </w:rPr>
        <w:t>.1</w:t>
      </w:r>
      <w:r w:rsidR="00C8001C" w:rsidRPr="002A2DB5">
        <w:rPr>
          <w:rFonts w:ascii="FangSong" w:eastAsia="FangSong" w:hAnsi="FangSong" w:hint="eastAsia"/>
        </w:rPr>
        <w:t>运营主体</w:t>
      </w:r>
      <w:bookmarkEnd w:id="34"/>
    </w:p>
    <w:p w14:paraId="19670875" w14:textId="7A19A653" w:rsidR="009B65C6" w:rsidRPr="00267178" w:rsidRDefault="002D368F" w:rsidP="002A2DB5">
      <w:pPr>
        <w:spacing w:line="360" w:lineRule="auto"/>
        <w:rPr>
          <w:rFonts w:ascii="FangSong" w:eastAsia="FangSong" w:hAnsi="FangSong"/>
          <w:sz w:val="28"/>
          <w:szCs w:val="28"/>
        </w:rPr>
      </w:pPr>
      <w:r w:rsidRPr="002A2DB5">
        <w:rPr>
          <w:rFonts w:ascii="FangSong" w:eastAsia="FangSong" w:hAnsi="FangSong" w:hint="eastAsia"/>
        </w:rPr>
        <w:t>1、</w:t>
      </w:r>
      <w:r w:rsidR="007A24DD" w:rsidRPr="00267178">
        <w:rPr>
          <w:rFonts w:ascii="FangSong" w:eastAsia="FangSong" w:hAnsi="FangSong" w:hint="eastAsia"/>
          <w:sz w:val="28"/>
          <w:szCs w:val="28"/>
        </w:rPr>
        <w:t>基本资料</w:t>
      </w:r>
    </w:p>
    <w:p w14:paraId="13CA9018" w14:textId="77777777" w:rsidR="009F14FD" w:rsidRPr="00267178" w:rsidRDefault="00C0131F"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009F14FD" w:rsidRPr="00267178">
        <w:rPr>
          <w:rFonts w:ascii="FangSong" w:eastAsia="FangSong" w:hAnsi="FangSong"/>
          <w:sz w:val="28"/>
          <w:szCs w:val="28"/>
        </w:rPr>
        <w:t>企业名称：中滨城（天津）置业有限公司</w:t>
      </w:r>
    </w:p>
    <w:p w14:paraId="5D069F44" w14:textId="4B8EDE67" w:rsidR="009F14FD" w:rsidRPr="00267178" w:rsidRDefault="009F14FD" w:rsidP="002A2DB5">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w:t>
      </w:r>
      <w:r w:rsidRPr="00267178">
        <w:rPr>
          <w:rFonts w:ascii="FangSong" w:eastAsia="FangSong" w:hAnsi="FangSong"/>
          <w:sz w:val="28"/>
          <w:szCs w:val="28"/>
        </w:rPr>
        <w:t>企业地址：天津八里台工业区建设路8号</w:t>
      </w:r>
    </w:p>
    <w:p w14:paraId="6218D688" w14:textId="42F6F939" w:rsidR="009F14FD" w:rsidRPr="00267178" w:rsidRDefault="009F14FD"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Pr="00267178">
        <w:rPr>
          <w:rFonts w:ascii="FangSong" w:eastAsia="FangSong" w:hAnsi="FangSong"/>
          <w:sz w:val="28"/>
          <w:szCs w:val="28"/>
        </w:rPr>
        <w:t>法人代表：李玉庆</w:t>
      </w:r>
    </w:p>
    <w:p w14:paraId="6DEB0FA5" w14:textId="6D513223" w:rsidR="009F14FD" w:rsidRPr="00267178" w:rsidRDefault="009F14FD"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00E656F0">
        <w:rPr>
          <w:rFonts w:ascii="FangSong" w:eastAsia="FangSong" w:hAnsi="FangSong"/>
          <w:sz w:val="28"/>
          <w:szCs w:val="28"/>
        </w:rPr>
        <w:t>注册资本：</w:t>
      </w:r>
      <w:r w:rsidRPr="00267178">
        <w:rPr>
          <w:rFonts w:ascii="FangSong" w:eastAsia="FangSong" w:hAnsi="FangSong"/>
          <w:sz w:val="28"/>
          <w:szCs w:val="28"/>
        </w:rPr>
        <w:t>2001万</w:t>
      </w:r>
      <w:r w:rsidR="00E656F0">
        <w:rPr>
          <w:rFonts w:ascii="FangSong" w:eastAsia="FangSong" w:hAnsi="FangSong" w:hint="eastAsia"/>
          <w:sz w:val="28"/>
          <w:szCs w:val="28"/>
        </w:rPr>
        <w:t>美</w:t>
      </w:r>
      <w:r w:rsidRPr="00267178">
        <w:rPr>
          <w:rFonts w:ascii="FangSong" w:eastAsia="FangSong" w:hAnsi="FangSong"/>
          <w:sz w:val="28"/>
          <w:szCs w:val="28"/>
        </w:rPr>
        <w:t>元</w:t>
      </w:r>
    </w:p>
    <w:p w14:paraId="6DC430E3" w14:textId="4F2D2527" w:rsidR="009F14FD" w:rsidRPr="00267178" w:rsidRDefault="009F14FD"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Pr="00267178">
        <w:rPr>
          <w:rFonts w:ascii="FangSong" w:eastAsia="FangSong" w:hAnsi="FangSong"/>
          <w:sz w:val="28"/>
          <w:szCs w:val="28"/>
        </w:rPr>
        <w:t>企业类型：有限责任公司（台港澳合资）</w:t>
      </w:r>
    </w:p>
    <w:p w14:paraId="6744C601" w14:textId="61897428" w:rsidR="00F81D71" w:rsidRPr="00267178" w:rsidRDefault="009F14FD"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Pr="00267178">
        <w:rPr>
          <w:rFonts w:ascii="FangSong" w:eastAsia="FangSong" w:hAnsi="FangSong"/>
          <w:sz w:val="28"/>
          <w:szCs w:val="28"/>
        </w:rPr>
        <w:t>经营范围：房地产、商业设施（津南（挂）2011—57号津南区八里台镇宗地）开发、建设、经营、基础设施建设、物业管理。</w:t>
      </w:r>
      <w:r w:rsidR="00F81D71" w:rsidRPr="00267178">
        <w:rPr>
          <w:rFonts w:ascii="FangSong" w:eastAsia="FangSong" w:hAnsi="FangSong" w:hint="eastAsia"/>
          <w:sz w:val="28"/>
          <w:szCs w:val="28"/>
        </w:rPr>
        <w:t xml:space="preserve">   </w:t>
      </w:r>
    </w:p>
    <w:p w14:paraId="086B97C2" w14:textId="27C893CC" w:rsidR="00F81D71" w:rsidRPr="00267178" w:rsidRDefault="003728DD" w:rsidP="002A2DB5">
      <w:pPr>
        <w:spacing w:line="360" w:lineRule="auto"/>
        <w:rPr>
          <w:rFonts w:ascii="FangSong" w:eastAsia="FangSong" w:hAnsi="FangSong"/>
          <w:sz w:val="28"/>
          <w:szCs w:val="28"/>
        </w:rPr>
      </w:pPr>
      <w:r w:rsidRPr="00267178">
        <w:rPr>
          <w:rFonts w:ascii="FangSong" w:eastAsia="FangSong" w:hAnsi="FangSong" w:hint="eastAsia"/>
          <w:sz w:val="28"/>
          <w:szCs w:val="28"/>
        </w:rPr>
        <w:t>2</w:t>
      </w:r>
      <w:r w:rsidR="002D368F" w:rsidRPr="00267178">
        <w:rPr>
          <w:rFonts w:ascii="FangSong" w:eastAsia="FangSong" w:hAnsi="FangSong" w:hint="eastAsia"/>
          <w:sz w:val="28"/>
          <w:szCs w:val="28"/>
        </w:rPr>
        <w:t>、</w:t>
      </w:r>
      <w:r w:rsidR="00F81D71" w:rsidRPr="00267178">
        <w:rPr>
          <w:rFonts w:ascii="FangSong" w:eastAsia="FangSong" w:hAnsi="FangSong" w:hint="eastAsia"/>
          <w:sz w:val="28"/>
          <w:szCs w:val="28"/>
        </w:rPr>
        <w:t>股权</w:t>
      </w:r>
      <w:r w:rsidR="007A24DD" w:rsidRPr="00267178">
        <w:rPr>
          <w:rFonts w:ascii="FangSong" w:eastAsia="FangSong" w:hAnsi="FangSong" w:hint="eastAsia"/>
          <w:sz w:val="28"/>
          <w:szCs w:val="28"/>
        </w:rPr>
        <w:t>架构</w:t>
      </w:r>
    </w:p>
    <w:tbl>
      <w:tblPr>
        <w:tblStyle w:val="a4"/>
        <w:tblW w:w="9445" w:type="dxa"/>
        <w:tblLook w:val="04A0" w:firstRow="1" w:lastRow="0" w:firstColumn="1" w:lastColumn="0" w:noHBand="0" w:noVBand="1"/>
      </w:tblPr>
      <w:tblGrid>
        <w:gridCol w:w="1127"/>
        <w:gridCol w:w="2675"/>
        <w:gridCol w:w="1231"/>
        <w:gridCol w:w="2181"/>
        <w:gridCol w:w="2231"/>
      </w:tblGrid>
      <w:tr w:rsidR="00F81D71" w:rsidRPr="00267178" w14:paraId="40FF3512" w14:textId="2266D650" w:rsidTr="00F81D71">
        <w:trPr>
          <w:trHeight w:val="579"/>
        </w:trPr>
        <w:tc>
          <w:tcPr>
            <w:tcW w:w="1127" w:type="dxa"/>
            <w:vAlign w:val="center"/>
          </w:tcPr>
          <w:p w14:paraId="25CE4FE0" w14:textId="69074794"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序号</w:t>
            </w:r>
          </w:p>
        </w:tc>
        <w:tc>
          <w:tcPr>
            <w:tcW w:w="2675" w:type="dxa"/>
            <w:vAlign w:val="center"/>
          </w:tcPr>
          <w:p w14:paraId="76DB05A2" w14:textId="2ED18AB6"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股东</w:t>
            </w:r>
          </w:p>
        </w:tc>
        <w:tc>
          <w:tcPr>
            <w:tcW w:w="1231" w:type="dxa"/>
            <w:vAlign w:val="center"/>
          </w:tcPr>
          <w:p w14:paraId="4B742012" w14:textId="549E9586"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持股比例</w:t>
            </w:r>
          </w:p>
        </w:tc>
        <w:tc>
          <w:tcPr>
            <w:tcW w:w="2181" w:type="dxa"/>
            <w:vAlign w:val="center"/>
          </w:tcPr>
          <w:p w14:paraId="0697D34B" w14:textId="77777777" w:rsidR="00494970"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出资金额</w:t>
            </w:r>
          </w:p>
          <w:p w14:paraId="3048E656" w14:textId="09919A59"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（万</w:t>
            </w:r>
            <w:r w:rsidR="00494970" w:rsidRPr="00267178">
              <w:rPr>
                <w:rFonts w:ascii="FangSong" w:eastAsia="FangSong" w:hAnsi="FangSong" w:hint="eastAsia"/>
                <w:sz w:val="28"/>
                <w:szCs w:val="28"/>
              </w:rPr>
              <w:t>美</w:t>
            </w:r>
            <w:r w:rsidRPr="00267178">
              <w:rPr>
                <w:rFonts w:ascii="FangSong" w:eastAsia="FangSong" w:hAnsi="FangSong" w:hint="eastAsia"/>
                <w:sz w:val="28"/>
                <w:szCs w:val="28"/>
              </w:rPr>
              <w:t>元）</w:t>
            </w:r>
          </w:p>
        </w:tc>
        <w:tc>
          <w:tcPr>
            <w:tcW w:w="2231" w:type="dxa"/>
            <w:vAlign w:val="center"/>
          </w:tcPr>
          <w:p w14:paraId="37DCFDDB" w14:textId="77777777" w:rsidR="00494970"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出资方式</w:t>
            </w:r>
          </w:p>
          <w:p w14:paraId="5E387967" w14:textId="3403887C"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（万</w:t>
            </w:r>
            <w:r w:rsidR="00494970" w:rsidRPr="00267178">
              <w:rPr>
                <w:rFonts w:ascii="FangSong" w:eastAsia="FangSong" w:hAnsi="FangSong" w:hint="eastAsia"/>
                <w:sz w:val="28"/>
                <w:szCs w:val="28"/>
              </w:rPr>
              <w:t>美</w:t>
            </w:r>
            <w:r w:rsidRPr="00267178">
              <w:rPr>
                <w:rFonts w:ascii="FangSong" w:eastAsia="FangSong" w:hAnsi="FangSong" w:hint="eastAsia"/>
                <w:sz w:val="28"/>
                <w:szCs w:val="28"/>
              </w:rPr>
              <w:t>元）</w:t>
            </w:r>
          </w:p>
        </w:tc>
      </w:tr>
      <w:tr w:rsidR="00F81D71" w:rsidRPr="00267178" w14:paraId="310427B2" w14:textId="3796430E" w:rsidTr="00F81D71">
        <w:trPr>
          <w:trHeight w:val="579"/>
        </w:trPr>
        <w:tc>
          <w:tcPr>
            <w:tcW w:w="1127" w:type="dxa"/>
            <w:vAlign w:val="center"/>
          </w:tcPr>
          <w:p w14:paraId="19A3C7E9" w14:textId="5751E662"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1</w:t>
            </w:r>
          </w:p>
        </w:tc>
        <w:tc>
          <w:tcPr>
            <w:tcW w:w="2675" w:type="dxa"/>
            <w:vAlign w:val="center"/>
          </w:tcPr>
          <w:p w14:paraId="3B38FD5A" w14:textId="2E6B1ACF"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钜华亚太精细化工物流有限公司</w:t>
            </w:r>
          </w:p>
        </w:tc>
        <w:tc>
          <w:tcPr>
            <w:tcW w:w="1231" w:type="dxa"/>
            <w:vAlign w:val="center"/>
          </w:tcPr>
          <w:p w14:paraId="145C3905" w14:textId="08583855"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50.00%</w:t>
            </w:r>
          </w:p>
        </w:tc>
        <w:tc>
          <w:tcPr>
            <w:tcW w:w="2181" w:type="dxa"/>
            <w:vAlign w:val="center"/>
          </w:tcPr>
          <w:p w14:paraId="17D61515" w14:textId="5C23E319" w:rsidR="00F81D71" w:rsidRPr="002752F6" w:rsidRDefault="002752F6" w:rsidP="002752F6">
            <w:pPr>
              <w:spacing w:line="360" w:lineRule="auto"/>
              <w:jc w:val="center"/>
              <w:rPr>
                <w:rFonts w:ascii="FangSong" w:eastAsia="FangSong" w:hAnsi="FangSong"/>
                <w:color w:val="FF0000"/>
                <w:sz w:val="28"/>
                <w:szCs w:val="28"/>
              </w:rPr>
            </w:pPr>
            <w:r w:rsidRPr="002752F6">
              <w:rPr>
                <w:rFonts w:ascii="FangSong" w:eastAsia="FangSong" w:hAnsi="FangSong" w:hint="eastAsia"/>
                <w:color w:val="FF0000"/>
                <w:sz w:val="28"/>
                <w:szCs w:val="28"/>
              </w:rPr>
              <w:t>1</w:t>
            </w:r>
            <w:r w:rsidR="00494970" w:rsidRPr="002752F6">
              <w:rPr>
                <w:rFonts w:ascii="FangSong" w:eastAsia="FangSong" w:hAnsi="FangSong" w:hint="eastAsia"/>
                <w:color w:val="FF0000"/>
                <w:sz w:val="28"/>
                <w:szCs w:val="28"/>
              </w:rPr>
              <w:t>,</w:t>
            </w:r>
            <w:r w:rsidRPr="002752F6">
              <w:rPr>
                <w:rFonts w:ascii="FangSong" w:eastAsia="FangSong" w:hAnsi="FangSong" w:hint="eastAsia"/>
                <w:color w:val="FF0000"/>
                <w:sz w:val="28"/>
                <w:szCs w:val="28"/>
              </w:rPr>
              <w:t>000.5</w:t>
            </w:r>
            <w:r w:rsidR="00494970" w:rsidRPr="002752F6">
              <w:rPr>
                <w:rFonts w:ascii="FangSong" w:eastAsia="FangSong" w:hAnsi="FangSong" w:hint="eastAsia"/>
                <w:color w:val="FF0000"/>
                <w:sz w:val="28"/>
                <w:szCs w:val="28"/>
              </w:rPr>
              <w:t>0</w:t>
            </w:r>
          </w:p>
        </w:tc>
        <w:tc>
          <w:tcPr>
            <w:tcW w:w="2231" w:type="dxa"/>
            <w:vAlign w:val="center"/>
          </w:tcPr>
          <w:p w14:paraId="1A973360" w14:textId="414FC542" w:rsidR="00F81D71" w:rsidRPr="00267178" w:rsidRDefault="00494970"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现汇</w:t>
            </w:r>
          </w:p>
        </w:tc>
      </w:tr>
      <w:tr w:rsidR="00F81D71" w:rsidRPr="00267178" w14:paraId="7FA625DB" w14:textId="359AA1B3" w:rsidTr="00F81D71">
        <w:trPr>
          <w:trHeight w:val="579"/>
        </w:trPr>
        <w:tc>
          <w:tcPr>
            <w:tcW w:w="1127" w:type="dxa"/>
            <w:vAlign w:val="center"/>
          </w:tcPr>
          <w:p w14:paraId="3A8AC889" w14:textId="7C0033D6"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2</w:t>
            </w:r>
          </w:p>
        </w:tc>
        <w:tc>
          <w:tcPr>
            <w:tcW w:w="2675" w:type="dxa"/>
            <w:vAlign w:val="center"/>
          </w:tcPr>
          <w:p w14:paraId="793C0D6D" w14:textId="764E61AD"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兆诚服装制造有限公司</w:t>
            </w:r>
          </w:p>
        </w:tc>
        <w:tc>
          <w:tcPr>
            <w:tcW w:w="1231" w:type="dxa"/>
            <w:vAlign w:val="center"/>
          </w:tcPr>
          <w:p w14:paraId="0FDC10C0" w14:textId="3B75B7CC"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50.00%</w:t>
            </w:r>
          </w:p>
        </w:tc>
        <w:tc>
          <w:tcPr>
            <w:tcW w:w="2181" w:type="dxa"/>
            <w:vAlign w:val="center"/>
          </w:tcPr>
          <w:p w14:paraId="087B5CDC" w14:textId="5799E775" w:rsidR="00F81D71" w:rsidRPr="002752F6" w:rsidRDefault="002752F6" w:rsidP="002752F6">
            <w:pPr>
              <w:spacing w:line="360" w:lineRule="auto"/>
              <w:jc w:val="center"/>
              <w:rPr>
                <w:rFonts w:ascii="FangSong" w:eastAsia="FangSong" w:hAnsi="FangSong"/>
                <w:color w:val="FF0000"/>
                <w:sz w:val="28"/>
                <w:szCs w:val="28"/>
              </w:rPr>
            </w:pPr>
            <w:r w:rsidRPr="002752F6">
              <w:rPr>
                <w:rFonts w:ascii="FangSong" w:eastAsia="FangSong" w:hAnsi="FangSong" w:hint="eastAsia"/>
                <w:color w:val="FF0000"/>
                <w:sz w:val="28"/>
                <w:szCs w:val="28"/>
              </w:rPr>
              <w:t>1</w:t>
            </w:r>
            <w:r w:rsidR="00494970" w:rsidRPr="002752F6">
              <w:rPr>
                <w:rFonts w:ascii="FangSong" w:eastAsia="FangSong" w:hAnsi="FangSong" w:hint="eastAsia"/>
                <w:color w:val="FF0000"/>
                <w:sz w:val="28"/>
                <w:szCs w:val="28"/>
              </w:rPr>
              <w:t>,</w:t>
            </w:r>
            <w:r w:rsidRPr="002752F6">
              <w:rPr>
                <w:rFonts w:ascii="FangSong" w:eastAsia="FangSong" w:hAnsi="FangSong" w:hint="eastAsia"/>
                <w:color w:val="FF0000"/>
                <w:sz w:val="28"/>
                <w:szCs w:val="28"/>
              </w:rPr>
              <w:t>000</w:t>
            </w:r>
            <w:r w:rsidR="00494970" w:rsidRPr="002752F6">
              <w:rPr>
                <w:rFonts w:ascii="FangSong" w:eastAsia="FangSong" w:hAnsi="FangSong" w:hint="eastAsia"/>
                <w:color w:val="FF0000"/>
                <w:sz w:val="28"/>
                <w:szCs w:val="28"/>
              </w:rPr>
              <w:t>.</w:t>
            </w:r>
            <w:r w:rsidRPr="002752F6">
              <w:rPr>
                <w:rFonts w:ascii="FangSong" w:eastAsia="FangSong" w:hAnsi="FangSong" w:hint="eastAsia"/>
                <w:color w:val="FF0000"/>
                <w:sz w:val="28"/>
                <w:szCs w:val="28"/>
              </w:rPr>
              <w:t>5</w:t>
            </w:r>
            <w:r w:rsidR="00494970" w:rsidRPr="002752F6">
              <w:rPr>
                <w:rFonts w:ascii="FangSong" w:eastAsia="FangSong" w:hAnsi="FangSong" w:hint="eastAsia"/>
                <w:color w:val="FF0000"/>
                <w:sz w:val="28"/>
                <w:szCs w:val="28"/>
              </w:rPr>
              <w:t>0</w:t>
            </w:r>
          </w:p>
        </w:tc>
        <w:tc>
          <w:tcPr>
            <w:tcW w:w="2231" w:type="dxa"/>
            <w:vAlign w:val="center"/>
          </w:tcPr>
          <w:p w14:paraId="083A0FDF" w14:textId="6F953FBB" w:rsidR="00F81D71" w:rsidRPr="00267178" w:rsidRDefault="00494970"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现汇</w:t>
            </w:r>
          </w:p>
        </w:tc>
      </w:tr>
      <w:tr w:rsidR="00F81D71" w:rsidRPr="00267178" w14:paraId="0E688159" w14:textId="77777777" w:rsidTr="00F81D71">
        <w:trPr>
          <w:trHeight w:val="579"/>
        </w:trPr>
        <w:tc>
          <w:tcPr>
            <w:tcW w:w="1127" w:type="dxa"/>
            <w:vAlign w:val="center"/>
          </w:tcPr>
          <w:p w14:paraId="0EBB0955" w14:textId="5A36EE13"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合计</w:t>
            </w:r>
          </w:p>
        </w:tc>
        <w:tc>
          <w:tcPr>
            <w:tcW w:w="2675" w:type="dxa"/>
            <w:vAlign w:val="center"/>
          </w:tcPr>
          <w:p w14:paraId="3861BA4D" w14:textId="3806240E"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w:t>
            </w:r>
          </w:p>
        </w:tc>
        <w:tc>
          <w:tcPr>
            <w:tcW w:w="1231" w:type="dxa"/>
            <w:vAlign w:val="center"/>
          </w:tcPr>
          <w:p w14:paraId="1834ED33" w14:textId="2E18D950" w:rsidR="00F81D71" w:rsidRPr="00267178" w:rsidRDefault="00F81D71"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100.00%</w:t>
            </w:r>
          </w:p>
        </w:tc>
        <w:tc>
          <w:tcPr>
            <w:tcW w:w="2181" w:type="dxa"/>
            <w:vAlign w:val="center"/>
          </w:tcPr>
          <w:p w14:paraId="417C6D1B" w14:textId="70141B4D" w:rsidR="00F81D71" w:rsidRPr="00267178" w:rsidRDefault="002752F6" w:rsidP="002752F6">
            <w:pPr>
              <w:spacing w:line="360" w:lineRule="auto"/>
              <w:jc w:val="center"/>
              <w:rPr>
                <w:rFonts w:ascii="FangSong" w:eastAsia="FangSong" w:hAnsi="FangSong"/>
                <w:sz w:val="28"/>
                <w:szCs w:val="28"/>
              </w:rPr>
            </w:pPr>
            <w:r w:rsidRPr="002752F6">
              <w:rPr>
                <w:rFonts w:ascii="FangSong" w:eastAsia="FangSong" w:hAnsi="FangSong" w:hint="eastAsia"/>
                <w:color w:val="FF0000"/>
                <w:sz w:val="28"/>
                <w:szCs w:val="28"/>
              </w:rPr>
              <w:t>2</w:t>
            </w:r>
            <w:r w:rsidR="00494970" w:rsidRPr="002752F6">
              <w:rPr>
                <w:rFonts w:ascii="FangSong" w:eastAsia="FangSong" w:hAnsi="FangSong" w:hint="eastAsia"/>
                <w:color w:val="FF0000"/>
                <w:sz w:val="28"/>
                <w:szCs w:val="28"/>
              </w:rPr>
              <w:t>,</w:t>
            </w:r>
            <w:r w:rsidRPr="002752F6">
              <w:rPr>
                <w:rFonts w:ascii="FangSong" w:eastAsia="FangSong" w:hAnsi="FangSong" w:hint="eastAsia"/>
                <w:color w:val="FF0000"/>
                <w:sz w:val="28"/>
                <w:szCs w:val="28"/>
              </w:rPr>
              <w:t>000.1</w:t>
            </w:r>
            <w:r w:rsidR="00494970" w:rsidRPr="002752F6">
              <w:rPr>
                <w:rFonts w:ascii="FangSong" w:eastAsia="FangSong" w:hAnsi="FangSong" w:hint="eastAsia"/>
                <w:color w:val="FF0000"/>
                <w:sz w:val="28"/>
                <w:szCs w:val="28"/>
              </w:rPr>
              <w:t>0</w:t>
            </w:r>
          </w:p>
        </w:tc>
        <w:tc>
          <w:tcPr>
            <w:tcW w:w="2231" w:type="dxa"/>
            <w:vAlign w:val="center"/>
          </w:tcPr>
          <w:p w14:paraId="5D728BC2" w14:textId="5CBCB364" w:rsidR="00F81D71" w:rsidRPr="00267178" w:rsidRDefault="00494970" w:rsidP="002A2DB5">
            <w:pPr>
              <w:spacing w:line="360" w:lineRule="auto"/>
              <w:jc w:val="center"/>
              <w:rPr>
                <w:rFonts w:ascii="FangSong" w:eastAsia="FangSong" w:hAnsi="FangSong"/>
                <w:sz w:val="28"/>
                <w:szCs w:val="28"/>
              </w:rPr>
            </w:pPr>
            <w:r w:rsidRPr="00267178">
              <w:rPr>
                <w:rFonts w:ascii="FangSong" w:eastAsia="FangSong" w:hAnsi="FangSong" w:hint="eastAsia"/>
                <w:sz w:val="28"/>
                <w:szCs w:val="28"/>
              </w:rPr>
              <w:t>/</w:t>
            </w:r>
          </w:p>
        </w:tc>
      </w:tr>
    </w:tbl>
    <w:p w14:paraId="12F37F62" w14:textId="18B91760" w:rsidR="00494970" w:rsidRPr="00267178" w:rsidRDefault="003728DD" w:rsidP="002A2DB5">
      <w:pPr>
        <w:spacing w:line="360" w:lineRule="auto"/>
        <w:rPr>
          <w:rFonts w:ascii="FangSong" w:eastAsia="FangSong" w:hAnsi="FangSong"/>
          <w:sz w:val="28"/>
          <w:szCs w:val="28"/>
        </w:rPr>
      </w:pPr>
      <w:r w:rsidRPr="00267178">
        <w:rPr>
          <w:rFonts w:ascii="FangSong" w:eastAsia="FangSong" w:hAnsi="FangSong" w:hint="eastAsia"/>
          <w:sz w:val="28"/>
          <w:szCs w:val="28"/>
        </w:rPr>
        <w:t>3</w:t>
      </w:r>
      <w:r w:rsidR="002D368F" w:rsidRPr="00267178">
        <w:rPr>
          <w:rFonts w:ascii="FangSong" w:eastAsia="FangSong" w:hAnsi="FangSong" w:hint="eastAsia"/>
          <w:sz w:val="28"/>
          <w:szCs w:val="28"/>
        </w:rPr>
        <w:t>、</w:t>
      </w:r>
      <w:r w:rsidRPr="00267178">
        <w:rPr>
          <w:rFonts w:ascii="FangSong" w:eastAsia="FangSong" w:hAnsi="FangSong" w:hint="eastAsia"/>
          <w:sz w:val="28"/>
          <w:szCs w:val="28"/>
        </w:rPr>
        <w:t>组织架构</w:t>
      </w:r>
    </w:p>
    <w:p w14:paraId="7DA280D9" w14:textId="0860A66C" w:rsidR="003728DD" w:rsidRPr="00267178" w:rsidRDefault="003728DD" w:rsidP="002A2DB5">
      <w:pPr>
        <w:spacing w:line="360" w:lineRule="auto"/>
        <w:rPr>
          <w:rFonts w:ascii="FangSong" w:eastAsia="FangSong" w:hAnsi="FangSong"/>
          <w:sz w:val="28"/>
          <w:szCs w:val="28"/>
        </w:rPr>
      </w:pPr>
      <w:r w:rsidRPr="00267178">
        <w:rPr>
          <w:rFonts w:ascii="FangSong" w:eastAsia="FangSong" w:hAnsi="FangSong"/>
          <w:noProof/>
          <w:sz w:val="28"/>
          <w:szCs w:val="28"/>
        </w:rPr>
        <w:lastRenderedPageBreak/>
        <w:drawing>
          <wp:inline distT="0" distB="0" distL="0" distR="0" wp14:anchorId="5E360CE6" wp14:editId="4E9E1F69">
            <wp:extent cx="5270500" cy="3935112"/>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3935112"/>
                    </a:xfrm>
                    <a:prstGeom prst="rect">
                      <a:avLst/>
                    </a:prstGeom>
                    <a:noFill/>
                    <a:ln>
                      <a:noFill/>
                    </a:ln>
                  </pic:spPr>
                </pic:pic>
              </a:graphicData>
            </a:graphic>
          </wp:inline>
        </w:drawing>
      </w:r>
    </w:p>
    <w:p w14:paraId="412B27E5" w14:textId="3218D4A5" w:rsidR="00494970" w:rsidRPr="00267178" w:rsidRDefault="003728DD" w:rsidP="002A2DB5">
      <w:pPr>
        <w:spacing w:line="360" w:lineRule="auto"/>
        <w:rPr>
          <w:rFonts w:ascii="FangSong" w:eastAsia="FangSong" w:hAnsi="FangSong"/>
          <w:sz w:val="28"/>
          <w:szCs w:val="28"/>
        </w:rPr>
      </w:pPr>
      <w:r w:rsidRPr="00267178">
        <w:rPr>
          <w:rFonts w:ascii="FangSong" w:eastAsia="FangSong" w:hAnsi="FangSong" w:hint="eastAsia"/>
          <w:sz w:val="28"/>
          <w:szCs w:val="28"/>
        </w:rPr>
        <w:t>4</w:t>
      </w:r>
      <w:r w:rsidR="00494970" w:rsidRPr="00267178">
        <w:rPr>
          <w:rFonts w:ascii="FangSong" w:eastAsia="FangSong" w:hAnsi="FangSong" w:hint="eastAsia"/>
          <w:sz w:val="28"/>
          <w:szCs w:val="28"/>
        </w:rPr>
        <w:t>、组织管理</w:t>
      </w:r>
    </w:p>
    <w:p w14:paraId="4CE1CEFE" w14:textId="4BCE27AB" w:rsidR="00494970" w:rsidRPr="00267178" w:rsidRDefault="006C2F0C"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公司设立股东会，由股东按出资比例行使表决权。股东会会议作出修改公司章程、增加或者减少注册资本的决议，以及公司合并、分立、解散或者变更公司形式的决议，必须经代表三分之二以上表决权的股东通过，其他事项必须经代表二分之一以上表决的股东通过。</w:t>
      </w:r>
    </w:p>
    <w:p w14:paraId="4B5660D8" w14:textId="26D59317" w:rsidR="006C2F0C" w:rsidRPr="00267178" w:rsidRDefault="006C2F0C"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公司不设董事会，设一名执行董事，执行董事由股东会选举和更换。</w:t>
      </w:r>
      <w:r w:rsidR="00194B53" w:rsidRPr="00267178">
        <w:rPr>
          <w:rFonts w:ascii="FangSong" w:eastAsia="FangSong" w:hAnsi="FangSong" w:hint="eastAsia"/>
          <w:sz w:val="28"/>
          <w:szCs w:val="28"/>
        </w:rPr>
        <w:t>执行董事每届任期三年，连选可以连任。</w:t>
      </w:r>
    </w:p>
    <w:p w14:paraId="6577DC16" w14:textId="0E9E8993" w:rsidR="00194B53" w:rsidRPr="00267178" w:rsidRDefault="00194B53"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公司不设监事会，设1名监事，监事由股东共同委派，董事不得兼任监事。</w:t>
      </w:r>
    </w:p>
    <w:p w14:paraId="5974D4FE" w14:textId="3C4AA542" w:rsidR="001059D0" w:rsidRPr="00267178" w:rsidRDefault="00194B53"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公司法定代表人由执行董事担任。</w:t>
      </w:r>
    </w:p>
    <w:p w14:paraId="34139644" w14:textId="36DA7458" w:rsidR="00C62A9C" w:rsidRPr="002A2DB5" w:rsidRDefault="003A17BB" w:rsidP="002A2DB5">
      <w:pPr>
        <w:pStyle w:val="2"/>
        <w:spacing w:line="360" w:lineRule="auto"/>
        <w:rPr>
          <w:rFonts w:ascii="FangSong" w:eastAsia="FangSong" w:hAnsi="FangSong"/>
        </w:rPr>
      </w:pPr>
      <w:bookmarkStart w:id="35" w:name="_Toc24893538"/>
      <w:r w:rsidRPr="002A2DB5">
        <w:rPr>
          <w:rFonts w:ascii="FangSong" w:eastAsia="FangSong" w:hAnsi="FangSong" w:hint="eastAsia"/>
        </w:rPr>
        <w:lastRenderedPageBreak/>
        <w:t>10</w:t>
      </w:r>
      <w:r w:rsidR="00BC0664" w:rsidRPr="002A2DB5">
        <w:rPr>
          <w:rFonts w:ascii="FangSong" w:eastAsia="FangSong" w:hAnsi="FangSong" w:hint="eastAsia"/>
        </w:rPr>
        <w:t>.2</w:t>
      </w:r>
      <w:r w:rsidR="00BD6E97" w:rsidRPr="002A2DB5">
        <w:rPr>
          <w:rFonts w:ascii="FangSong" w:eastAsia="FangSong" w:hAnsi="FangSong" w:hint="eastAsia"/>
        </w:rPr>
        <w:t>运营</w:t>
      </w:r>
      <w:r w:rsidR="00C8001C" w:rsidRPr="002A2DB5">
        <w:rPr>
          <w:rFonts w:ascii="FangSong" w:eastAsia="FangSong" w:hAnsi="FangSong" w:hint="eastAsia"/>
        </w:rPr>
        <w:t>团队</w:t>
      </w:r>
      <w:bookmarkEnd w:id="35"/>
    </w:p>
    <w:p w14:paraId="72BD153F" w14:textId="3AB00629" w:rsidR="00F101C5" w:rsidRPr="00267178" w:rsidRDefault="00F101C5" w:rsidP="002A2DB5">
      <w:pPr>
        <w:spacing w:line="360" w:lineRule="auto"/>
        <w:rPr>
          <w:rFonts w:ascii="FangSong" w:eastAsia="FangSong" w:hAnsi="FangSong"/>
          <w:sz w:val="28"/>
          <w:szCs w:val="28"/>
        </w:rPr>
      </w:pPr>
      <w:r w:rsidRPr="00267178">
        <w:rPr>
          <w:rFonts w:ascii="FangSong" w:eastAsia="FangSong" w:hAnsi="FangSong" w:hint="eastAsia"/>
          <w:sz w:val="28"/>
          <w:szCs w:val="28"/>
        </w:rPr>
        <w:t>1、核心管理团队介绍</w:t>
      </w:r>
    </w:p>
    <w:p w14:paraId="787D686C" w14:textId="147F6C21" w:rsidR="0014640C" w:rsidRPr="00267178" w:rsidRDefault="0014640C"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刘家宝   </w:t>
      </w:r>
      <w:r w:rsidR="003F3E03" w:rsidRPr="00267178">
        <w:rPr>
          <w:rFonts w:ascii="FangSong" w:eastAsia="FangSong" w:hAnsi="FangSong" w:hint="eastAsia"/>
          <w:sz w:val="28"/>
          <w:szCs w:val="28"/>
        </w:rPr>
        <w:t>公司</w:t>
      </w:r>
      <w:r w:rsidRPr="00267178">
        <w:rPr>
          <w:rFonts w:ascii="FangSong" w:eastAsia="FangSong" w:hAnsi="FangSong" w:hint="eastAsia"/>
          <w:sz w:val="28"/>
          <w:szCs w:val="28"/>
        </w:rPr>
        <w:t>董事、总经理</w:t>
      </w:r>
    </w:p>
    <w:p w14:paraId="429F3570" w14:textId="18CF26FB" w:rsidR="003F3E03" w:rsidRDefault="0014640C" w:rsidP="00BB45A4">
      <w:pPr>
        <w:spacing w:line="360" w:lineRule="auto"/>
        <w:ind w:firstLine="560"/>
        <w:rPr>
          <w:rFonts w:ascii="FangSong" w:eastAsia="FangSong" w:hAnsi="FangSong" w:hint="eastAsia"/>
          <w:sz w:val="28"/>
          <w:szCs w:val="28"/>
        </w:rPr>
      </w:pPr>
      <w:r w:rsidRPr="00267178">
        <w:rPr>
          <w:rFonts w:ascii="FangSong" w:eastAsia="FangSong" w:hAnsi="FangSong" w:hint="eastAsia"/>
          <w:sz w:val="28"/>
          <w:szCs w:val="28"/>
        </w:rPr>
        <w:t>天津市人，</w:t>
      </w:r>
      <w:r w:rsidRPr="00267178">
        <w:rPr>
          <w:rFonts w:ascii="FangSong" w:eastAsia="FangSong" w:hAnsi="FangSong"/>
          <w:sz w:val="28"/>
          <w:szCs w:val="28"/>
        </w:rPr>
        <w:t>硕士研究生，高级工程师、一级建造师和政府采购评审专家。在大型国有建筑企业工作，曾担任过大型国有建筑企业领导人及政府重点工程指挥部指挥长。</w:t>
      </w:r>
    </w:p>
    <w:p w14:paraId="4AB561C2" w14:textId="51C755F8" w:rsidR="007A150B" w:rsidRPr="007A150B" w:rsidRDefault="007A150B" w:rsidP="007A150B">
      <w:pPr>
        <w:spacing w:line="360" w:lineRule="auto"/>
        <w:rPr>
          <w:rFonts w:ascii="FangSong" w:eastAsia="FangSong" w:hAnsi="FangSong" w:hint="eastAsia"/>
          <w:color w:val="FF0000"/>
          <w:sz w:val="28"/>
          <w:szCs w:val="28"/>
        </w:rPr>
      </w:pPr>
      <w:r>
        <w:rPr>
          <w:rFonts w:ascii="FangSong" w:eastAsia="FangSong" w:hAnsi="FangSong" w:hint="eastAsia"/>
          <w:sz w:val="28"/>
          <w:szCs w:val="28"/>
        </w:rPr>
        <w:t xml:space="preserve">  </w:t>
      </w:r>
      <w:r w:rsidRPr="007A150B">
        <w:rPr>
          <w:rFonts w:ascii="FangSong" w:eastAsia="FangSong" w:hAnsi="FangSong" w:hint="eastAsia"/>
          <w:color w:val="FF0000"/>
          <w:sz w:val="28"/>
          <w:szCs w:val="28"/>
        </w:rPr>
        <w:t xml:space="preserve">  陈琳翰   </w:t>
      </w:r>
      <w:r w:rsidRPr="007A150B">
        <w:rPr>
          <w:rFonts w:ascii="FangSong" w:eastAsia="FangSong" w:hAnsi="FangSong" w:hint="eastAsia"/>
          <w:color w:val="FF0000"/>
          <w:sz w:val="28"/>
          <w:szCs w:val="28"/>
        </w:rPr>
        <w:t xml:space="preserve"> </w:t>
      </w:r>
      <w:r w:rsidRPr="007A150B">
        <w:rPr>
          <w:rFonts w:ascii="FangSong" w:eastAsia="FangSong" w:hAnsi="FangSong" w:hint="eastAsia"/>
          <w:color w:val="FF0000"/>
          <w:sz w:val="28"/>
          <w:szCs w:val="28"/>
        </w:rPr>
        <w:t>项目总顾问</w:t>
      </w:r>
    </w:p>
    <w:p w14:paraId="2C786045" w14:textId="77777777" w:rsidR="007A150B" w:rsidRPr="007A150B" w:rsidRDefault="007A150B" w:rsidP="007A150B">
      <w:pPr>
        <w:spacing w:line="360" w:lineRule="auto"/>
        <w:ind w:firstLine="560"/>
        <w:rPr>
          <w:rFonts w:ascii="FangSong" w:eastAsia="FangSong" w:hAnsi="FangSong" w:hint="eastAsia"/>
          <w:color w:val="FF0000"/>
          <w:sz w:val="28"/>
          <w:szCs w:val="28"/>
        </w:rPr>
      </w:pPr>
      <w:r w:rsidRPr="007A150B">
        <w:rPr>
          <w:rFonts w:ascii="FangSong" w:eastAsia="FangSong" w:hAnsi="FangSong" w:hint="eastAsia"/>
          <w:color w:val="FF0000"/>
          <w:sz w:val="28"/>
          <w:szCs w:val="28"/>
        </w:rPr>
        <w:t>天佑安康康养集团董事长、首席合伙人；民政部培训中心客座教授、环球时报评选的“养老产业领袖人物”；投资并运营着数十</w:t>
      </w:r>
      <w:bookmarkStart w:id="36" w:name="_GoBack"/>
      <w:bookmarkEnd w:id="36"/>
      <w:r w:rsidRPr="007A150B">
        <w:rPr>
          <w:rFonts w:ascii="FangSong" w:eastAsia="FangSong" w:hAnsi="FangSong" w:hint="eastAsia"/>
          <w:color w:val="FF0000"/>
          <w:sz w:val="28"/>
          <w:szCs w:val="28"/>
        </w:rPr>
        <w:t>家康养机构。</w:t>
      </w:r>
    </w:p>
    <w:p w14:paraId="0E0BC2B0" w14:textId="6FCC6E96" w:rsidR="007A150B" w:rsidRPr="007A150B" w:rsidRDefault="007A150B" w:rsidP="007A150B">
      <w:pPr>
        <w:spacing w:line="360" w:lineRule="auto"/>
        <w:ind w:firstLine="560"/>
        <w:rPr>
          <w:rFonts w:ascii="FangSong" w:eastAsia="FangSong" w:hAnsi="FangSong"/>
          <w:color w:val="FF0000"/>
          <w:sz w:val="28"/>
          <w:szCs w:val="28"/>
        </w:rPr>
      </w:pPr>
      <w:r w:rsidRPr="007A150B">
        <w:rPr>
          <w:rFonts w:ascii="FangSong" w:eastAsia="FangSong" w:hAnsi="FangSong" w:hint="eastAsia"/>
          <w:color w:val="FF0000"/>
          <w:sz w:val="28"/>
          <w:szCs w:val="28"/>
        </w:rPr>
        <w:t>窦若尘   项目总监</w:t>
      </w:r>
    </w:p>
    <w:p w14:paraId="0C22198B" w14:textId="5FF67C4F" w:rsidR="007A150B" w:rsidRPr="007A150B" w:rsidRDefault="007A150B" w:rsidP="007A150B">
      <w:pPr>
        <w:spacing w:line="360" w:lineRule="auto"/>
        <w:ind w:firstLine="560"/>
        <w:rPr>
          <w:rFonts w:ascii="FangSong" w:eastAsia="FangSong" w:hAnsi="FangSong" w:hint="eastAsia"/>
          <w:color w:val="FF0000"/>
          <w:sz w:val="28"/>
          <w:szCs w:val="28"/>
        </w:rPr>
      </w:pPr>
      <w:r w:rsidRPr="007A150B">
        <w:rPr>
          <w:rFonts w:ascii="FangSong" w:eastAsia="FangSong" w:hAnsi="FangSong" w:hint="eastAsia"/>
          <w:color w:val="FF0000"/>
          <w:sz w:val="28"/>
          <w:szCs w:val="28"/>
        </w:rPr>
        <w:t>男，</w:t>
      </w:r>
      <w:r w:rsidRPr="007A150B">
        <w:rPr>
          <w:rFonts w:ascii="FangSong" w:eastAsia="FangSong" w:hAnsi="FangSong"/>
          <w:color w:val="FF0000"/>
          <w:sz w:val="28"/>
          <w:szCs w:val="28"/>
        </w:rPr>
        <w:t>55</w:t>
      </w:r>
      <w:r w:rsidRPr="007A150B">
        <w:rPr>
          <w:rFonts w:ascii="FangSong" w:eastAsia="FangSong" w:hAnsi="FangSong" w:hint="eastAsia"/>
          <w:color w:val="FF0000"/>
          <w:sz w:val="28"/>
          <w:szCs w:val="28"/>
        </w:rPr>
        <w:t>岁，硕士学位，中共党员，长期从事康养项目投融资及运营工作，有丰富的康养类项目管理和运营经验。</w:t>
      </w:r>
    </w:p>
    <w:p w14:paraId="2A858740" w14:textId="58EA7593" w:rsidR="00BB45A4" w:rsidRPr="008B0B53" w:rsidRDefault="00BB45A4" w:rsidP="008B0B53">
      <w:pPr>
        <w:spacing w:line="360" w:lineRule="auto"/>
        <w:ind w:firstLine="560"/>
        <w:rPr>
          <w:rFonts w:ascii="FangSong" w:eastAsia="FangSong" w:hAnsi="FangSong"/>
          <w:color w:val="FF0000"/>
          <w:sz w:val="28"/>
          <w:szCs w:val="28"/>
        </w:rPr>
      </w:pPr>
      <w:r w:rsidRPr="008B0B53">
        <w:rPr>
          <w:rFonts w:ascii="FangSong" w:eastAsia="FangSong" w:hAnsi="FangSong" w:hint="eastAsia"/>
          <w:color w:val="FF0000"/>
          <w:sz w:val="28"/>
          <w:szCs w:val="28"/>
        </w:rPr>
        <w:t xml:space="preserve">杨宝民   </w:t>
      </w:r>
      <w:r w:rsidR="008B0B53" w:rsidRPr="008B0B53">
        <w:rPr>
          <w:rFonts w:ascii="FangSong" w:eastAsia="FangSong" w:hAnsi="FangSong" w:hint="eastAsia"/>
          <w:color w:val="FF0000"/>
          <w:sz w:val="28"/>
          <w:szCs w:val="28"/>
        </w:rPr>
        <w:t>特聘康养运营专家</w:t>
      </w:r>
    </w:p>
    <w:p w14:paraId="76F7BB08" w14:textId="3C6930E5" w:rsidR="00BB45A4" w:rsidRPr="008B0B53" w:rsidRDefault="00BB45A4" w:rsidP="00BB45A4">
      <w:pPr>
        <w:spacing w:line="360" w:lineRule="auto"/>
        <w:ind w:firstLine="560"/>
        <w:rPr>
          <w:rFonts w:ascii="FangSong" w:eastAsia="FangSong" w:hAnsi="FangSong"/>
          <w:color w:val="FF0000"/>
          <w:sz w:val="28"/>
          <w:szCs w:val="28"/>
        </w:rPr>
      </w:pPr>
      <w:r w:rsidRPr="008B0B53">
        <w:rPr>
          <w:rFonts w:ascii="FangSong" w:eastAsia="FangSong" w:hAnsi="FangSong" w:hint="eastAsia"/>
          <w:color w:val="FF0000"/>
          <w:sz w:val="28"/>
          <w:szCs w:val="28"/>
        </w:rPr>
        <w:t>中国文化旅游双核引力理论创始人，特色小镇和田园综合体规划设计与产业规划，旅游规划设计，商贸物流规划四结合理论创始人。2011年中国十大杰出商业地产操盘手。曾担任中国商业地产联盟专家委员，北大经济学院授课专家，长沙市科学发展顾问、天府振东文化传媒公司董事长等。开设八种名牌课程。成功案例：包括但不限于深圳华强北东方时代广场、青岛颐中银街商业综合体、长沙新长海城市综合体、徐州中央国际广场等。</w:t>
      </w:r>
    </w:p>
    <w:p w14:paraId="09356211" w14:textId="0DF85D5B" w:rsidR="007A150B" w:rsidRPr="00267178" w:rsidRDefault="003F3E03" w:rsidP="007A150B">
      <w:pPr>
        <w:spacing w:line="360" w:lineRule="auto"/>
        <w:rPr>
          <w:rFonts w:ascii="FangSong" w:eastAsia="FangSong" w:hAnsi="FangSong"/>
          <w:sz w:val="28"/>
          <w:szCs w:val="28"/>
        </w:rPr>
      </w:pPr>
      <w:r w:rsidRPr="00267178">
        <w:rPr>
          <w:rFonts w:ascii="FangSong" w:eastAsia="FangSong" w:hAnsi="FangSong" w:hint="eastAsia"/>
          <w:sz w:val="28"/>
          <w:szCs w:val="28"/>
        </w:rPr>
        <w:lastRenderedPageBreak/>
        <w:t xml:space="preserve">   </w:t>
      </w:r>
    </w:p>
    <w:p w14:paraId="48DB535B" w14:textId="7CD77444" w:rsidR="0014640C" w:rsidRPr="00267178" w:rsidRDefault="0014640C"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王迪   </w:t>
      </w:r>
      <w:r w:rsidR="009B65C6" w:rsidRPr="00267178">
        <w:rPr>
          <w:rFonts w:ascii="FangSong" w:eastAsia="FangSong" w:hAnsi="FangSong" w:hint="eastAsia"/>
          <w:sz w:val="28"/>
          <w:szCs w:val="28"/>
        </w:rPr>
        <w:t>财务总监</w:t>
      </w:r>
    </w:p>
    <w:p w14:paraId="1D58F797" w14:textId="551E3FE2" w:rsidR="0014640C" w:rsidRPr="00267178" w:rsidRDefault="0014640C"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高级会计师、</w:t>
      </w:r>
      <w:r w:rsidRPr="00267178">
        <w:rPr>
          <w:rFonts w:ascii="FangSong" w:eastAsia="FangSong" w:hAnsi="FangSong"/>
          <w:sz w:val="28"/>
          <w:szCs w:val="28"/>
        </w:rPr>
        <w:t>执业注册税务师</w:t>
      </w:r>
      <w:r w:rsidRPr="00267178">
        <w:rPr>
          <w:rFonts w:ascii="FangSong" w:eastAsia="FangSong" w:hAnsi="FangSong" w:hint="eastAsia"/>
          <w:sz w:val="28"/>
          <w:szCs w:val="28"/>
        </w:rPr>
        <w:t>。</w:t>
      </w:r>
      <w:r w:rsidRPr="00267178">
        <w:rPr>
          <w:rFonts w:ascii="FangSong" w:eastAsia="FangSong" w:hAnsi="FangSong"/>
          <w:sz w:val="28"/>
          <w:szCs w:val="28"/>
        </w:rPr>
        <w:t>曾在中国大型建筑央企集团总部担任财务资产部领导岗位。主要负责大型建筑央企集团公司的财务管控、税收筹划、财务信息化建设、财务标准化建设、集团公司重点工程项目建设的融投资、财务监管和工程项目审计等，中共党员</w:t>
      </w:r>
      <w:r w:rsidRPr="00267178">
        <w:rPr>
          <w:rFonts w:ascii="FangSong" w:eastAsia="FangSong" w:hAnsi="FangSong" w:hint="eastAsia"/>
          <w:sz w:val="28"/>
          <w:szCs w:val="28"/>
        </w:rPr>
        <w:t>。</w:t>
      </w:r>
    </w:p>
    <w:p w14:paraId="13AD07FD" w14:textId="69FDFBD1" w:rsidR="0014640C" w:rsidRPr="00267178" w:rsidRDefault="0014640C"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 xml:space="preserve">徐永清   </w:t>
      </w:r>
      <w:r w:rsidR="007A150B">
        <w:rPr>
          <w:rFonts w:ascii="FangSong" w:eastAsia="FangSong" w:hAnsi="FangSong" w:hint="eastAsia"/>
          <w:sz w:val="28"/>
          <w:szCs w:val="28"/>
        </w:rPr>
        <w:t>人力</w:t>
      </w:r>
      <w:r w:rsidR="009B65C6" w:rsidRPr="00267178">
        <w:rPr>
          <w:rFonts w:ascii="FangSong" w:eastAsia="FangSong" w:hAnsi="FangSong" w:hint="eastAsia"/>
          <w:sz w:val="28"/>
          <w:szCs w:val="28"/>
        </w:rPr>
        <w:t>总监</w:t>
      </w:r>
    </w:p>
    <w:p w14:paraId="73CBCFD7" w14:textId="40B11DF9" w:rsidR="0014640C" w:rsidRPr="00267178" w:rsidRDefault="0014640C"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山东威海人。</w:t>
      </w:r>
      <w:r w:rsidRPr="00267178">
        <w:rPr>
          <w:rFonts w:ascii="FangSong" w:eastAsia="FangSong" w:hAnsi="FangSong"/>
          <w:sz w:val="28"/>
          <w:szCs w:val="28"/>
        </w:rPr>
        <w:t>新加坡国立大学商学院工商管理硕士。曾在政府机构、中国国际贸易促进委员会、中国国际商会、中国国际展览机构工作。资深会展创始人，曾是中国内地会议展览界知名人士之一。擅长创意策划，营销推广及投资管理与金融服务等。</w:t>
      </w:r>
      <w:r w:rsidRPr="00267178">
        <w:rPr>
          <w:rFonts w:ascii="FangSong" w:eastAsia="FangSong" w:hAnsi="FangSong" w:hint="eastAsia"/>
          <w:sz w:val="28"/>
          <w:szCs w:val="28"/>
        </w:rPr>
        <w:t xml:space="preserve"> </w:t>
      </w:r>
    </w:p>
    <w:p w14:paraId="44A5F198" w14:textId="297B80A8" w:rsidR="00C62A9C" w:rsidRPr="00267178" w:rsidRDefault="0014640C"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 xml:space="preserve">张成才 </w:t>
      </w:r>
      <w:r w:rsidR="009B65C6" w:rsidRPr="00267178">
        <w:rPr>
          <w:rFonts w:ascii="FangSong" w:eastAsia="FangSong" w:hAnsi="FangSong" w:hint="eastAsia"/>
          <w:sz w:val="28"/>
          <w:szCs w:val="28"/>
        </w:rPr>
        <w:t xml:space="preserve"> </w:t>
      </w:r>
      <w:r w:rsidR="00F101C5" w:rsidRPr="00267178">
        <w:rPr>
          <w:rFonts w:ascii="FangSong" w:eastAsia="FangSong" w:hAnsi="FangSong" w:hint="eastAsia"/>
          <w:sz w:val="28"/>
          <w:szCs w:val="28"/>
        </w:rPr>
        <w:t>工程总监</w:t>
      </w:r>
    </w:p>
    <w:p w14:paraId="3DE7AD2D" w14:textId="6ED3173E" w:rsidR="0014640C" w:rsidRPr="00267178" w:rsidRDefault="0014640C" w:rsidP="002A2DB5">
      <w:pPr>
        <w:spacing w:line="360" w:lineRule="auto"/>
        <w:ind w:firstLine="480"/>
        <w:rPr>
          <w:rFonts w:ascii="FangSong" w:eastAsia="FangSong" w:hAnsi="FangSong"/>
          <w:sz w:val="28"/>
          <w:szCs w:val="28"/>
        </w:rPr>
      </w:pPr>
      <w:r w:rsidRPr="00267178">
        <w:rPr>
          <w:rFonts w:ascii="FangSong" w:eastAsia="FangSong" w:hAnsi="FangSong" w:hint="eastAsia"/>
          <w:sz w:val="28"/>
          <w:szCs w:val="28"/>
        </w:rPr>
        <w:t>辽宁沈阳市人，</w:t>
      </w:r>
      <w:r w:rsidRPr="00267178">
        <w:rPr>
          <w:rFonts w:ascii="FangSong" w:eastAsia="FangSong" w:hAnsi="FangSong"/>
          <w:sz w:val="28"/>
          <w:szCs w:val="28"/>
        </w:rPr>
        <w:t>高级工程师，中国一级建造师。曾在中国大型建筑央企工作并担任重要领导人。负责过中国大型工程总包工程，多次获得各种国家质量奖和省部级奖励。个人获曾得过优秀企业家和中建功勋员工称号。</w:t>
      </w:r>
    </w:p>
    <w:p w14:paraId="332F8A9A" w14:textId="120C8A14" w:rsidR="0014640C" w:rsidRPr="00267178" w:rsidRDefault="00A11E73" w:rsidP="002A2DB5">
      <w:pPr>
        <w:spacing w:line="360" w:lineRule="auto"/>
        <w:rPr>
          <w:rFonts w:ascii="FangSong" w:eastAsia="FangSong" w:hAnsi="FangSong"/>
          <w:sz w:val="28"/>
          <w:szCs w:val="28"/>
        </w:rPr>
      </w:pPr>
      <w:r w:rsidRPr="00267178">
        <w:rPr>
          <w:rFonts w:ascii="FangSong" w:eastAsia="FangSong" w:hAnsi="FangSong" w:hint="eastAsia"/>
          <w:sz w:val="28"/>
          <w:szCs w:val="28"/>
        </w:rPr>
        <w:t>2、</w:t>
      </w:r>
      <w:r w:rsidR="00CE3D98" w:rsidRPr="00267178">
        <w:rPr>
          <w:rFonts w:ascii="FangSong" w:eastAsia="FangSong" w:hAnsi="FangSong" w:hint="eastAsia"/>
          <w:sz w:val="28"/>
          <w:szCs w:val="28"/>
        </w:rPr>
        <w:t>公司员工介绍</w:t>
      </w:r>
    </w:p>
    <w:p w14:paraId="1992C171" w14:textId="2E9B9BE1" w:rsidR="002D368F" w:rsidRPr="00035B01" w:rsidRDefault="00CE3D98" w:rsidP="002A2DB5">
      <w:pPr>
        <w:spacing w:line="360" w:lineRule="auto"/>
        <w:rPr>
          <w:rFonts w:ascii="FangSong" w:eastAsia="FangSong" w:hAnsi="FangSong"/>
          <w:sz w:val="28"/>
          <w:szCs w:val="28"/>
        </w:rPr>
      </w:pPr>
      <w:r w:rsidRPr="00267178">
        <w:rPr>
          <w:rFonts w:ascii="FangSong" w:eastAsia="FangSong" w:hAnsi="FangSong" w:hint="eastAsia"/>
          <w:sz w:val="28"/>
          <w:szCs w:val="28"/>
        </w:rPr>
        <w:t xml:space="preserve">   </w:t>
      </w:r>
      <w:r w:rsidR="00BF53D2" w:rsidRPr="00267178">
        <w:rPr>
          <w:rFonts w:ascii="FangSong" w:eastAsia="FangSong" w:hAnsi="FangSong"/>
          <w:sz w:val="28"/>
          <w:szCs w:val="28"/>
        </w:rPr>
        <w:t>2018年中滨城（天津）置业有限公司人力计划编制人员25人，实际到岗18人，其中：从学历上分析，公司目前本科及以上学历占比64.3%，专科及以下学历人数占比</w:t>
      </w:r>
      <w:r w:rsidR="006B78D0">
        <w:rPr>
          <w:rFonts w:ascii="FangSong" w:eastAsia="FangSong" w:hAnsi="FangSong" w:hint="eastAsia"/>
          <w:sz w:val="28"/>
          <w:szCs w:val="28"/>
        </w:rPr>
        <w:t>36.7</w:t>
      </w:r>
      <w:r w:rsidR="00BF53D2" w:rsidRPr="00267178">
        <w:rPr>
          <w:rFonts w:ascii="FangSong" w:eastAsia="FangSong" w:hAnsi="FangSong"/>
          <w:sz w:val="28"/>
          <w:szCs w:val="28"/>
        </w:rPr>
        <w:t>%；从年龄结构上分析，25</w:t>
      </w:r>
      <w:r w:rsidR="00BF53D2" w:rsidRPr="00267178">
        <w:rPr>
          <w:rFonts w:ascii="FangSong" w:eastAsia="FangSong" w:hAnsi="FangSong"/>
          <w:sz w:val="28"/>
          <w:szCs w:val="28"/>
        </w:rPr>
        <w:lastRenderedPageBreak/>
        <w:t>岁（含）-35岁人数占比42%，35岁（含）至45岁人数占比28.6%，45岁（含）以上29.4%。</w:t>
      </w:r>
    </w:p>
    <w:p w14:paraId="42DFCAE5" w14:textId="35C48E43" w:rsidR="00E06C0E" w:rsidRDefault="00B63664" w:rsidP="002A2DB5">
      <w:pPr>
        <w:pStyle w:val="1"/>
        <w:spacing w:line="360" w:lineRule="auto"/>
        <w:rPr>
          <w:rFonts w:ascii="FangSong" w:eastAsia="FangSong" w:hAnsi="FangSong"/>
        </w:rPr>
      </w:pPr>
      <w:bookmarkStart w:id="37" w:name="_Toc24893539"/>
      <w:r w:rsidRPr="002A2DB5">
        <w:rPr>
          <w:rFonts w:ascii="FangSong" w:eastAsia="FangSong" w:hAnsi="FangSong" w:hint="eastAsia"/>
        </w:rPr>
        <w:t>十一、</w:t>
      </w:r>
      <w:r w:rsidR="00E06C0E" w:rsidRPr="002A2DB5">
        <w:rPr>
          <w:rFonts w:ascii="FangSong" w:eastAsia="FangSong" w:hAnsi="FangSong" w:hint="eastAsia"/>
        </w:rPr>
        <w:t>投资安排</w:t>
      </w:r>
      <w:bookmarkEnd w:id="37"/>
    </w:p>
    <w:p w14:paraId="120C7AE7" w14:textId="43AAE6C8" w:rsidR="000A193A" w:rsidRDefault="000A193A" w:rsidP="000A193A">
      <w:pPr>
        <w:pStyle w:val="2"/>
        <w:spacing w:line="360" w:lineRule="auto"/>
        <w:rPr>
          <w:rFonts w:ascii="FangSong" w:eastAsia="FangSong" w:hAnsi="FangSong"/>
        </w:rPr>
      </w:pPr>
      <w:bookmarkStart w:id="38" w:name="_Toc24893540"/>
      <w:r w:rsidRPr="002A2DB5">
        <w:rPr>
          <w:rFonts w:ascii="FangSong" w:eastAsia="FangSong" w:hAnsi="FangSong" w:hint="eastAsia"/>
        </w:rPr>
        <w:t>1</w:t>
      </w:r>
      <w:r>
        <w:rPr>
          <w:rFonts w:ascii="FangSong" w:eastAsia="FangSong" w:hAnsi="FangSong" w:hint="eastAsia"/>
        </w:rPr>
        <w:t>1</w:t>
      </w:r>
      <w:r w:rsidRPr="002A2DB5">
        <w:rPr>
          <w:rFonts w:ascii="FangSong" w:eastAsia="FangSong" w:hAnsi="FangSong" w:hint="eastAsia"/>
        </w:rPr>
        <w:t>.</w:t>
      </w:r>
      <w:r>
        <w:rPr>
          <w:rFonts w:ascii="FangSong" w:eastAsia="FangSong" w:hAnsi="FangSong" w:hint="eastAsia"/>
        </w:rPr>
        <w:t>1项目总投</w:t>
      </w:r>
      <w:bookmarkEnd w:id="38"/>
    </w:p>
    <w:p w14:paraId="6EE199FD" w14:textId="2E76EB20" w:rsidR="00103F04" w:rsidRDefault="001244D5" w:rsidP="00103F04">
      <w:pPr>
        <w:ind w:left="720"/>
        <w:rPr>
          <w:rFonts w:ascii="FangSong" w:eastAsia="FangSong" w:hAnsi="FangSong"/>
          <w:sz w:val="28"/>
          <w:szCs w:val="28"/>
        </w:rPr>
      </w:pPr>
      <w:r w:rsidRPr="00F72F2A">
        <w:rPr>
          <w:rFonts w:ascii="FangSong" w:eastAsia="FangSong" w:hAnsi="FangSong" w:hint="eastAsia"/>
          <w:sz w:val="28"/>
          <w:szCs w:val="28"/>
        </w:rPr>
        <w:t>项目总投资近</w:t>
      </w:r>
      <w:r w:rsidR="00752B94">
        <w:rPr>
          <w:rFonts w:ascii="FangSong" w:eastAsia="FangSong" w:hAnsi="FangSong" w:hint="eastAsia"/>
          <w:b/>
          <w:bCs/>
          <w:color w:val="000000"/>
          <w:sz w:val="28"/>
          <w:szCs w:val="28"/>
        </w:rPr>
        <w:t>496,985</w:t>
      </w:r>
      <w:r w:rsidR="00F72F2A" w:rsidRPr="00F72F2A">
        <w:rPr>
          <w:rFonts w:ascii="FangSong" w:eastAsia="FangSong" w:hAnsi="FangSong" w:hint="eastAsia"/>
          <w:b/>
          <w:bCs/>
          <w:color w:val="000000"/>
          <w:sz w:val="28"/>
          <w:szCs w:val="28"/>
        </w:rPr>
        <w:t>.00万元</w:t>
      </w:r>
      <w:r w:rsidR="00F72F2A" w:rsidRPr="00F72F2A">
        <w:rPr>
          <w:rFonts w:ascii="FangSong" w:eastAsia="FangSong" w:hAnsi="FangSong" w:hint="eastAsia"/>
          <w:sz w:val="28"/>
          <w:szCs w:val="28"/>
        </w:rPr>
        <w:t>。分别</w:t>
      </w:r>
      <w:r w:rsidRPr="00F72F2A">
        <w:rPr>
          <w:rFonts w:ascii="FangSong" w:eastAsia="FangSong" w:hAnsi="FangSong" w:hint="eastAsia"/>
          <w:sz w:val="28"/>
          <w:szCs w:val="28"/>
        </w:rPr>
        <w:t>包含土地成本</w:t>
      </w:r>
      <w:r w:rsidR="00103F04">
        <w:rPr>
          <w:rFonts w:ascii="FangSong" w:eastAsia="FangSong" w:hAnsi="FangSong" w:hint="eastAsia"/>
          <w:sz w:val="28"/>
          <w:szCs w:val="28"/>
        </w:rPr>
        <w:t>、建造成</w:t>
      </w:r>
    </w:p>
    <w:p w14:paraId="7E80FA9C" w14:textId="668E55E5" w:rsidR="00575CD0" w:rsidRPr="00103F04" w:rsidRDefault="00103F04" w:rsidP="00265078">
      <w:pPr>
        <w:rPr>
          <w:rFonts w:ascii="FangSong" w:eastAsia="FangSong" w:hAnsi="FangSong"/>
          <w:sz w:val="28"/>
          <w:szCs w:val="28"/>
        </w:rPr>
      </w:pPr>
      <w:r>
        <w:rPr>
          <w:rFonts w:ascii="FangSong" w:eastAsia="FangSong" w:hAnsi="FangSong" w:hint="eastAsia"/>
          <w:sz w:val="28"/>
          <w:szCs w:val="28"/>
        </w:rPr>
        <w:t>本、开发间接费、销售费用、管理费用、财务费用、营业税。</w:t>
      </w:r>
      <w:r w:rsidR="001244D5" w:rsidRPr="00F72F2A">
        <w:rPr>
          <w:rFonts w:ascii="FangSong" w:eastAsia="FangSong" w:hAnsi="FangSong" w:hint="eastAsia"/>
          <w:sz w:val="28"/>
          <w:szCs w:val="28"/>
        </w:rPr>
        <w:t>整</w:t>
      </w:r>
      <w:r>
        <w:rPr>
          <w:rFonts w:ascii="FangSong" w:eastAsia="FangSong" w:hAnsi="FangSong" w:hint="eastAsia"/>
          <w:sz w:val="28"/>
          <w:szCs w:val="28"/>
        </w:rPr>
        <w:t>体各项预估费用合理，具体如下：</w:t>
      </w:r>
    </w:p>
    <w:tbl>
      <w:tblPr>
        <w:tblW w:w="8266" w:type="dxa"/>
        <w:tblInd w:w="88" w:type="dxa"/>
        <w:tblLook w:val="04A0" w:firstRow="1" w:lastRow="0" w:firstColumn="1" w:lastColumn="0" w:noHBand="0" w:noVBand="1"/>
      </w:tblPr>
      <w:tblGrid>
        <w:gridCol w:w="1758"/>
        <w:gridCol w:w="1619"/>
        <w:gridCol w:w="1619"/>
        <w:gridCol w:w="1619"/>
        <w:gridCol w:w="1651"/>
      </w:tblGrid>
      <w:tr w:rsidR="00752B94" w:rsidRPr="00752B94" w14:paraId="7361F76D" w14:textId="77777777" w:rsidTr="00752B94">
        <w:trPr>
          <w:trHeight w:val="151"/>
        </w:trPr>
        <w:tc>
          <w:tcPr>
            <w:tcW w:w="8266" w:type="dxa"/>
            <w:gridSpan w:val="5"/>
            <w:tcBorders>
              <w:top w:val="nil"/>
              <w:left w:val="nil"/>
              <w:bottom w:val="single" w:sz="4" w:space="0" w:color="auto"/>
              <w:right w:val="nil"/>
            </w:tcBorders>
            <w:shd w:val="clear" w:color="000000" w:fill="0070C0"/>
            <w:noWrap/>
            <w:vAlign w:val="bottom"/>
            <w:hideMark/>
          </w:tcPr>
          <w:p w14:paraId="32C2B9E3" w14:textId="77777777" w:rsidR="00752B94" w:rsidRPr="00752B94" w:rsidRDefault="00752B94" w:rsidP="00752B94">
            <w:pPr>
              <w:jc w:val="center"/>
              <w:rPr>
                <w:rFonts w:ascii="DengXian" w:eastAsia="DengXian" w:hAnsi="DengXian"/>
                <w:b/>
                <w:bCs/>
                <w:color w:val="FFFFFF"/>
              </w:rPr>
            </w:pPr>
            <w:r w:rsidRPr="00752B94">
              <w:rPr>
                <w:rFonts w:ascii="DengXian" w:eastAsia="DengXian" w:hAnsi="DengXian" w:hint="eastAsia"/>
                <w:b/>
                <w:bCs/>
                <w:color w:val="FFFFFF"/>
              </w:rPr>
              <w:t>投资明细表</w:t>
            </w:r>
          </w:p>
        </w:tc>
      </w:tr>
      <w:tr w:rsidR="00752B94" w:rsidRPr="00752B94" w14:paraId="02B9A004" w14:textId="77777777" w:rsidTr="00752B94">
        <w:trPr>
          <w:trHeight w:val="326"/>
        </w:trPr>
        <w:tc>
          <w:tcPr>
            <w:tcW w:w="1758" w:type="dxa"/>
            <w:vMerge w:val="restart"/>
            <w:tcBorders>
              <w:top w:val="nil"/>
              <w:left w:val="single" w:sz="4" w:space="0" w:color="auto"/>
              <w:bottom w:val="single" w:sz="4" w:space="0" w:color="auto"/>
              <w:right w:val="single" w:sz="4" w:space="0" w:color="auto"/>
            </w:tcBorders>
            <w:shd w:val="clear" w:color="auto" w:fill="auto"/>
            <w:vAlign w:val="center"/>
            <w:hideMark/>
          </w:tcPr>
          <w:p w14:paraId="105E191F"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科目</w:t>
            </w:r>
          </w:p>
        </w:tc>
        <w:tc>
          <w:tcPr>
            <w:tcW w:w="16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F66BF1" w14:textId="77777777" w:rsidR="00752B94" w:rsidRPr="00752B94" w:rsidRDefault="00752B94" w:rsidP="00752B94">
            <w:pPr>
              <w:jc w:val="center"/>
              <w:rPr>
                <w:rFonts w:ascii="仿宋" w:eastAsia="仿宋" w:hAnsi="仿宋"/>
                <w:b/>
                <w:bCs/>
                <w:color w:val="000000"/>
              </w:rPr>
            </w:pPr>
            <w:r w:rsidRPr="00752B94">
              <w:rPr>
                <w:rFonts w:ascii="仿宋" w:eastAsia="仿宋" w:hAnsi="仿宋" w:hint="eastAsia"/>
                <w:b/>
                <w:bCs/>
                <w:color w:val="000000"/>
              </w:rPr>
              <w:t>一期</w:t>
            </w:r>
          </w:p>
        </w:tc>
        <w:tc>
          <w:tcPr>
            <w:tcW w:w="16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97C06F" w14:textId="77777777" w:rsidR="00752B94" w:rsidRPr="00752B94" w:rsidRDefault="00752B94" w:rsidP="00752B94">
            <w:pPr>
              <w:jc w:val="center"/>
              <w:rPr>
                <w:rFonts w:ascii="仿宋" w:eastAsia="仿宋" w:hAnsi="仿宋"/>
                <w:b/>
                <w:bCs/>
                <w:color w:val="000000"/>
              </w:rPr>
            </w:pPr>
            <w:r w:rsidRPr="00752B94">
              <w:rPr>
                <w:rFonts w:ascii="仿宋" w:eastAsia="仿宋" w:hAnsi="仿宋" w:hint="eastAsia"/>
                <w:b/>
                <w:bCs/>
                <w:color w:val="000000"/>
              </w:rPr>
              <w:t>二期</w:t>
            </w:r>
          </w:p>
        </w:tc>
        <w:tc>
          <w:tcPr>
            <w:tcW w:w="16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BE51E4" w14:textId="77777777" w:rsidR="00752B94" w:rsidRPr="00752B94" w:rsidRDefault="00752B94" w:rsidP="00752B94">
            <w:pPr>
              <w:jc w:val="center"/>
              <w:rPr>
                <w:rFonts w:ascii="仿宋" w:eastAsia="仿宋" w:hAnsi="仿宋"/>
                <w:b/>
                <w:bCs/>
                <w:color w:val="000000"/>
              </w:rPr>
            </w:pPr>
            <w:r w:rsidRPr="00752B94">
              <w:rPr>
                <w:rFonts w:ascii="仿宋" w:eastAsia="仿宋" w:hAnsi="仿宋" w:hint="eastAsia"/>
                <w:b/>
                <w:bCs/>
                <w:color w:val="000000"/>
              </w:rPr>
              <w:t>三期</w:t>
            </w:r>
          </w:p>
        </w:tc>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8837F" w14:textId="77777777" w:rsidR="00752B94" w:rsidRPr="00752B94" w:rsidRDefault="00752B94" w:rsidP="00752B94">
            <w:pPr>
              <w:jc w:val="center"/>
              <w:rPr>
                <w:rFonts w:ascii="仿宋" w:eastAsia="仿宋" w:hAnsi="仿宋"/>
                <w:b/>
                <w:bCs/>
                <w:color w:val="000000"/>
              </w:rPr>
            </w:pPr>
            <w:r w:rsidRPr="00752B94">
              <w:rPr>
                <w:rFonts w:ascii="仿宋" w:eastAsia="仿宋" w:hAnsi="仿宋" w:hint="eastAsia"/>
                <w:b/>
                <w:bCs/>
                <w:color w:val="000000"/>
              </w:rPr>
              <w:t>合计</w:t>
            </w:r>
          </w:p>
        </w:tc>
      </w:tr>
      <w:tr w:rsidR="00752B94" w:rsidRPr="00752B94" w14:paraId="25DF1741" w14:textId="77777777" w:rsidTr="00752B94">
        <w:trPr>
          <w:trHeight w:val="326"/>
        </w:trPr>
        <w:tc>
          <w:tcPr>
            <w:tcW w:w="1758" w:type="dxa"/>
            <w:vMerge/>
            <w:tcBorders>
              <w:top w:val="nil"/>
              <w:left w:val="single" w:sz="4" w:space="0" w:color="auto"/>
              <w:bottom w:val="single" w:sz="4" w:space="0" w:color="auto"/>
              <w:right w:val="single" w:sz="4" w:space="0" w:color="auto"/>
            </w:tcBorders>
            <w:vAlign w:val="center"/>
            <w:hideMark/>
          </w:tcPr>
          <w:p w14:paraId="263C7D1E" w14:textId="77777777" w:rsidR="00752B94" w:rsidRPr="00752B94" w:rsidRDefault="00752B94" w:rsidP="00752B94">
            <w:pPr>
              <w:rPr>
                <w:rFonts w:ascii="仿宋" w:eastAsia="仿宋" w:hAnsi="仿宋"/>
                <w:b/>
                <w:bCs/>
                <w:color w:val="000000"/>
              </w:rPr>
            </w:pPr>
          </w:p>
        </w:tc>
        <w:tc>
          <w:tcPr>
            <w:tcW w:w="1619" w:type="dxa"/>
            <w:vMerge/>
            <w:tcBorders>
              <w:top w:val="nil"/>
              <w:left w:val="single" w:sz="4" w:space="0" w:color="auto"/>
              <w:bottom w:val="single" w:sz="4" w:space="0" w:color="auto"/>
              <w:right w:val="single" w:sz="4" w:space="0" w:color="auto"/>
            </w:tcBorders>
            <w:vAlign w:val="center"/>
            <w:hideMark/>
          </w:tcPr>
          <w:p w14:paraId="79989C33" w14:textId="77777777" w:rsidR="00752B94" w:rsidRPr="00752B94" w:rsidRDefault="00752B94" w:rsidP="00752B94">
            <w:pPr>
              <w:rPr>
                <w:rFonts w:ascii="仿宋" w:eastAsia="仿宋" w:hAnsi="仿宋"/>
                <w:b/>
                <w:bCs/>
                <w:color w:val="000000"/>
              </w:rPr>
            </w:pPr>
          </w:p>
        </w:tc>
        <w:tc>
          <w:tcPr>
            <w:tcW w:w="1619" w:type="dxa"/>
            <w:vMerge/>
            <w:tcBorders>
              <w:top w:val="nil"/>
              <w:left w:val="single" w:sz="4" w:space="0" w:color="auto"/>
              <w:bottom w:val="single" w:sz="4" w:space="0" w:color="auto"/>
              <w:right w:val="single" w:sz="4" w:space="0" w:color="auto"/>
            </w:tcBorders>
            <w:vAlign w:val="center"/>
            <w:hideMark/>
          </w:tcPr>
          <w:p w14:paraId="6EAD3920" w14:textId="77777777" w:rsidR="00752B94" w:rsidRPr="00752B94" w:rsidRDefault="00752B94" w:rsidP="00752B94">
            <w:pPr>
              <w:rPr>
                <w:rFonts w:ascii="仿宋" w:eastAsia="仿宋" w:hAnsi="仿宋"/>
                <w:b/>
                <w:bCs/>
                <w:color w:val="000000"/>
              </w:rPr>
            </w:pPr>
          </w:p>
        </w:tc>
        <w:tc>
          <w:tcPr>
            <w:tcW w:w="1619" w:type="dxa"/>
            <w:vMerge/>
            <w:tcBorders>
              <w:top w:val="nil"/>
              <w:left w:val="single" w:sz="4" w:space="0" w:color="auto"/>
              <w:bottom w:val="single" w:sz="4" w:space="0" w:color="auto"/>
              <w:right w:val="single" w:sz="4" w:space="0" w:color="auto"/>
            </w:tcBorders>
            <w:vAlign w:val="center"/>
            <w:hideMark/>
          </w:tcPr>
          <w:p w14:paraId="06757059" w14:textId="77777777" w:rsidR="00752B94" w:rsidRPr="00752B94" w:rsidRDefault="00752B94" w:rsidP="00752B94">
            <w:pPr>
              <w:rPr>
                <w:rFonts w:ascii="仿宋" w:eastAsia="仿宋" w:hAnsi="仿宋"/>
                <w:b/>
                <w:bCs/>
                <w:color w:val="000000"/>
              </w:rPr>
            </w:pPr>
          </w:p>
        </w:tc>
        <w:tc>
          <w:tcPr>
            <w:tcW w:w="1651" w:type="dxa"/>
            <w:vMerge/>
            <w:tcBorders>
              <w:top w:val="nil"/>
              <w:left w:val="single" w:sz="4" w:space="0" w:color="auto"/>
              <w:bottom w:val="single" w:sz="4" w:space="0" w:color="auto"/>
              <w:right w:val="single" w:sz="4" w:space="0" w:color="auto"/>
            </w:tcBorders>
            <w:vAlign w:val="center"/>
            <w:hideMark/>
          </w:tcPr>
          <w:p w14:paraId="6263B336" w14:textId="77777777" w:rsidR="00752B94" w:rsidRPr="00752B94" w:rsidRDefault="00752B94" w:rsidP="00752B94">
            <w:pPr>
              <w:rPr>
                <w:rFonts w:ascii="仿宋" w:eastAsia="仿宋" w:hAnsi="仿宋"/>
                <w:b/>
                <w:bCs/>
                <w:color w:val="000000"/>
              </w:rPr>
            </w:pPr>
          </w:p>
        </w:tc>
      </w:tr>
      <w:tr w:rsidR="00752B94" w:rsidRPr="00752B94" w14:paraId="7391DB26"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A8BDD05"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一 土地及大配套</w:t>
            </w:r>
          </w:p>
        </w:tc>
        <w:tc>
          <w:tcPr>
            <w:tcW w:w="1619" w:type="dxa"/>
            <w:tcBorders>
              <w:top w:val="nil"/>
              <w:left w:val="nil"/>
              <w:bottom w:val="single" w:sz="4" w:space="0" w:color="auto"/>
              <w:right w:val="single" w:sz="4" w:space="0" w:color="auto"/>
            </w:tcBorders>
            <w:shd w:val="clear" w:color="auto" w:fill="auto"/>
            <w:noWrap/>
            <w:vAlign w:val="center"/>
            <w:hideMark/>
          </w:tcPr>
          <w:p w14:paraId="62AB02C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17,609.38 </w:t>
            </w:r>
          </w:p>
        </w:tc>
        <w:tc>
          <w:tcPr>
            <w:tcW w:w="1619" w:type="dxa"/>
            <w:tcBorders>
              <w:top w:val="nil"/>
              <w:left w:val="nil"/>
              <w:bottom w:val="single" w:sz="4" w:space="0" w:color="auto"/>
              <w:right w:val="single" w:sz="4" w:space="0" w:color="auto"/>
            </w:tcBorders>
            <w:shd w:val="clear" w:color="auto" w:fill="auto"/>
            <w:noWrap/>
            <w:vAlign w:val="center"/>
            <w:hideMark/>
          </w:tcPr>
          <w:p w14:paraId="55974139"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27,539.70 </w:t>
            </w:r>
          </w:p>
        </w:tc>
        <w:tc>
          <w:tcPr>
            <w:tcW w:w="1619" w:type="dxa"/>
            <w:tcBorders>
              <w:top w:val="nil"/>
              <w:left w:val="nil"/>
              <w:bottom w:val="single" w:sz="4" w:space="0" w:color="auto"/>
              <w:right w:val="single" w:sz="4" w:space="0" w:color="auto"/>
            </w:tcBorders>
            <w:shd w:val="clear" w:color="auto" w:fill="auto"/>
            <w:noWrap/>
            <w:vAlign w:val="center"/>
            <w:hideMark/>
          </w:tcPr>
          <w:p w14:paraId="26ADFDE0"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25,450.92 </w:t>
            </w:r>
          </w:p>
        </w:tc>
        <w:tc>
          <w:tcPr>
            <w:tcW w:w="1651" w:type="dxa"/>
            <w:tcBorders>
              <w:top w:val="nil"/>
              <w:left w:val="nil"/>
              <w:bottom w:val="single" w:sz="4" w:space="0" w:color="auto"/>
              <w:right w:val="single" w:sz="4" w:space="0" w:color="auto"/>
            </w:tcBorders>
            <w:shd w:val="clear" w:color="auto" w:fill="auto"/>
            <w:noWrap/>
            <w:vAlign w:val="center"/>
            <w:hideMark/>
          </w:tcPr>
          <w:p w14:paraId="7BF14FDD"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70,600.00 </w:t>
            </w:r>
          </w:p>
        </w:tc>
      </w:tr>
      <w:tr w:rsidR="00752B94" w:rsidRPr="00752B94" w14:paraId="6D4CB8BE"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3D914966"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1 土地款</w:t>
            </w:r>
          </w:p>
        </w:tc>
        <w:tc>
          <w:tcPr>
            <w:tcW w:w="1619" w:type="dxa"/>
            <w:tcBorders>
              <w:top w:val="nil"/>
              <w:left w:val="nil"/>
              <w:bottom w:val="single" w:sz="4" w:space="0" w:color="auto"/>
              <w:right w:val="single" w:sz="4" w:space="0" w:color="auto"/>
            </w:tcBorders>
            <w:shd w:val="clear" w:color="auto" w:fill="auto"/>
            <w:noWrap/>
            <w:vAlign w:val="center"/>
            <w:hideMark/>
          </w:tcPr>
          <w:p w14:paraId="09B9ACF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332E451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111C913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51" w:type="dxa"/>
            <w:tcBorders>
              <w:top w:val="nil"/>
              <w:left w:val="nil"/>
              <w:bottom w:val="single" w:sz="4" w:space="0" w:color="auto"/>
              <w:right w:val="single" w:sz="4" w:space="0" w:color="auto"/>
            </w:tcBorders>
            <w:shd w:val="clear" w:color="auto" w:fill="auto"/>
            <w:noWrap/>
            <w:vAlign w:val="center"/>
            <w:hideMark/>
          </w:tcPr>
          <w:p w14:paraId="0FFCB8DD"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   </w:t>
            </w:r>
          </w:p>
        </w:tc>
      </w:tr>
      <w:tr w:rsidR="00752B94" w:rsidRPr="00752B94" w14:paraId="6E04E56B"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335855A6"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2 大配套费</w:t>
            </w:r>
          </w:p>
        </w:tc>
        <w:tc>
          <w:tcPr>
            <w:tcW w:w="1619" w:type="dxa"/>
            <w:tcBorders>
              <w:top w:val="nil"/>
              <w:left w:val="nil"/>
              <w:bottom w:val="single" w:sz="4" w:space="0" w:color="auto"/>
              <w:right w:val="single" w:sz="4" w:space="0" w:color="auto"/>
            </w:tcBorders>
            <w:shd w:val="clear" w:color="auto" w:fill="auto"/>
            <w:noWrap/>
            <w:vAlign w:val="center"/>
            <w:hideMark/>
          </w:tcPr>
          <w:p w14:paraId="5EDA8843"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00AA4CB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204D717B"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51" w:type="dxa"/>
            <w:tcBorders>
              <w:top w:val="nil"/>
              <w:left w:val="nil"/>
              <w:bottom w:val="single" w:sz="4" w:space="0" w:color="auto"/>
              <w:right w:val="single" w:sz="4" w:space="0" w:color="auto"/>
            </w:tcBorders>
            <w:shd w:val="clear" w:color="auto" w:fill="auto"/>
            <w:noWrap/>
            <w:vAlign w:val="center"/>
            <w:hideMark/>
          </w:tcPr>
          <w:p w14:paraId="5607383A"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   </w:t>
            </w:r>
          </w:p>
        </w:tc>
      </w:tr>
      <w:tr w:rsidR="00752B94" w:rsidRPr="00752B94" w14:paraId="3E63765E"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4CE22205"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3 土地契税</w:t>
            </w:r>
          </w:p>
        </w:tc>
        <w:tc>
          <w:tcPr>
            <w:tcW w:w="1619" w:type="dxa"/>
            <w:tcBorders>
              <w:top w:val="nil"/>
              <w:left w:val="nil"/>
              <w:bottom w:val="single" w:sz="4" w:space="0" w:color="auto"/>
              <w:right w:val="single" w:sz="4" w:space="0" w:color="auto"/>
            </w:tcBorders>
            <w:shd w:val="clear" w:color="auto" w:fill="auto"/>
            <w:noWrap/>
            <w:vAlign w:val="center"/>
            <w:hideMark/>
          </w:tcPr>
          <w:p w14:paraId="1A40063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253C25A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0F7C78AB"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51" w:type="dxa"/>
            <w:tcBorders>
              <w:top w:val="nil"/>
              <w:left w:val="nil"/>
              <w:bottom w:val="single" w:sz="4" w:space="0" w:color="auto"/>
              <w:right w:val="single" w:sz="4" w:space="0" w:color="auto"/>
            </w:tcBorders>
            <w:shd w:val="clear" w:color="auto" w:fill="auto"/>
            <w:noWrap/>
            <w:vAlign w:val="center"/>
            <w:hideMark/>
          </w:tcPr>
          <w:p w14:paraId="352DF02B"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   </w:t>
            </w:r>
          </w:p>
        </w:tc>
      </w:tr>
      <w:tr w:rsidR="00752B94" w:rsidRPr="00752B94" w14:paraId="12A4EC45"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08C0B856"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4 土地交易费</w:t>
            </w:r>
          </w:p>
        </w:tc>
        <w:tc>
          <w:tcPr>
            <w:tcW w:w="1619" w:type="dxa"/>
            <w:tcBorders>
              <w:top w:val="nil"/>
              <w:left w:val="nil"/>
              <w:bottom w:val="single" w:sz="4" w:space="0" w:color="auto"/>
              <w:right w:val="single" w:sz="4" w:space="0" w:color="auto"/>
            </w:tcBorders>
            <w:shd w:val="clear" w:color="auto" w:fill="auto"/>
            <w:noWrap/>
            <w:vAlign w:val="center"/>
            <w:hideMark/>
          </w:tcPr>
          <w:p w14:paraId="646C79F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308F871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19" w:type="dxa"/>
            <w:tcBorders>
              <w:top w:val="nil"/>
              <w:left w:val="nil"/>
              <w:bottom w:val="single" w:sz="4" w:space="0" w:color="auto"/>
              <w:right w:val="single" w:sz="4" w:space="0" w:color="auto"/>
            </w:tcBorders>
            <w:shd w:val="clear" w:color="auto" w:fill="auto"/>
            <w:noWrap/>
            <w:vAlign w:val="center"/>
            <w:hideMark/>
          </w:tcPr>
          <w:p w14:paraId="0D3F5EF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w:t>
            </w:r>
          </w:p>
        </w:tc>
        <w:tc>
          <w:tcPr>
            <w:tcW w:w="1651" w:type="dxa"/>
            <w:tcBorders>
              <w:top w:val="nil"/>
              <w:left w:val="nil"/>
              <w:bottom w:val="single" w:sz="4" w:space="0" w:color="auto"/>
              <w:right w:val="single" w:sz="4" w:space="0" w:color="auto"/>
            </w:tcBorders>
            <w:shd w:val="clear" w:color="auto" w:fill="auto"/>
            <w:noWrap/>
            <w:vAlign w:val="center"/>
            <w:hideMark/>
          </w:tcPr>
          <w:p w14:paraId="532A239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   </w:t>
            </w:r>
          </w:p>
        </w:tc>
      </w:tr>
      <w:tr w:rsidR="00752B94" w:rsidRPr="00752B94" w14:paraId="378B833A"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5C08C950"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二 建造成本</w:t>
            </w:r>
          </w:p>
        </w:tc>
        <w:tc>
          <w:tcPr>
            <w:tcW w:w="1619" w:type="dxa"/>
            <w:tcBorders>
              <w:top w:val="nil"/>
              <w:left w:val="nil"/>
              <w:bottom w:val="single" w:sz="4" w:space="0" w:color="auto"/>
              <w:right w:val="single" w:sz="4" w:space="0" w:color="auto"/>
            </w:tcBorders>
            <w:shd w:val="clear" w:color="auto" w:fill="auto"/>
            <w:noWrap/>
            <w:vAlign w:val="center"/>
            <w:hideMark/>
          </w:tcPr>
          <w:p w14:paraId="581FEF6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78,041.00 </w:t>
            </w:r>
          </w:p>
        </w:tc>
        <w:tc>
          <w:tcPr>
            <w:tcW w:w="1619" w:type="dxa"/>
            <w:tcBorders>
              <w:top w:val="nil"/>
              <w:left w:val="nil"/>
              <w:bottom w:val="single" w:sz="4" w:space="0" w:color="auto"/>
              <w:right w:val="single" w:sz="4" w:space="0" w:color="auto"/>
            </w:tcBorders>
            <w:shd w:val="clear" w:color="auto" w:fill="auto"/>
            <w:noWrap/>
            <w:vAlign w:val="center"/>
            <w:hideMark/>
          </w:tcPr>
          <w:p w14:paraId="5C2F5CF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122,050.00 </w:t>
            </w:r>
          </w:p>
        </w:tc>
        <w:tc>
          <w:tcPr>
            <w:tcW w:w="1619" w:type="dxa"/>
            <w:tcBorders>
              <w:top w:val="nil"/>
              <w:left w:val="nil"/>
              <w:bottom w:val="single" w:sz="4" w:space="0" w:color="auto"/>
              <w:right w:val="single" w:sz="4" w:space="0" w:color="auto"/>
            </w:tcBorders>
            <w:shd w:val="clear" w:color="auto" w:fill="auto"/>
            <w:noWrap/>
            <w:vAlign w:val="center"/>
            <w:hideMark/>
          </w:tcPr>
          <w:p w14:paraId="200E4BD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112,793.00 </w:t>
            </w:r>
          </w:p>
        </w:tc>
        <w:tc>
          <w:tcPr>
            <w:tcW w:w="1651" w:type="dxa"/>
            <w:tcBorders>
              <w:top w:val="nil"/>
              <w:left w:val="nil"/>
              <w:bottom w:val="single" w:sz="4" w:space="0" w:color="auto"/>
              <w:right w:val="single" w:sz="4" w:space="0" w:color="auto"/>
            </w:tcBorders>
            <w:shd w:val="clear" w:color="auto" w:fill="auto"/>
            <w:noWrap/>
            <w:vAlign w:val="center"/>
            <w:hideMark/>
          </w:tcPr>
          <w:p w14:paraId="5F7F73D4"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312,884.00 </w:t>
            </w:r>
          </w:p>
        </w:tc>
      </w:tr>
      <w:tr w:rsidR="00752B94" w:rsidRPr="00752B94" w14:paraId="3351E146"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E362188"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 xml:space="preserve"> 1 前期费用</w:t>
            </w:r>
          </w:p>
        </w:tc>
        <w:tc>
          <w:tcPr>
            <w:tcW w:w="1619" w:type="dxa"/>
            <w:tcBorders>
              <w:top w:val="nil"/>
              <w:left w:val="nil"/>
              <w:bottom w:val="single" w:sz="4" w:space="0" w:color="auto"/>
              <w:right w:val="single" w:sz="4" w:space="0" w:color="auto"/>
            </w:tcBorders>
            <w:shd w:val="clear" w:color="auto" w:fill="auto"/>
            <w:noWrap/>
            <w:vAlign w:val="center"/>
            <w:hideMark/>
          </w:tcPr>
          <w:p w14:paraId="7DB159F6"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1,838.00 </w:t>
            </w:r>
          </w:p>
        </w:tc>
        <w:tc>
          <w:tcPr>
            <w:tcW w:w="1619" w:type="dxa"/>
            <w:tcBorders>
              <w:top w:val="nil"/>
              <w:left w:val="nil"/>
              <w:bottom w:val="single" w:sz="4" w:space="0" w:color="auto"/>
              <w:right w:val="single" w:sz="4" w:space="0" w:color="auto"/>
            </w:tcBorders>
            <w:shd w:val="clear" w:color="auto" w:fill="auto"/>
            <w:noWrap/>
            <w:vAlign w:val="center"/>
            <w:hideMark/>
          </w:tcPr>
          <w:p w14:paraId="17D52071"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3,447.00 </w:t>
            </w:r>
          </w:p>
        </w:tc>
        <w:tc>
          <w:tcPr>
            <w:tcW w:w="1619" w:type="dxa"/>
            <w:tcBorders>
              <w:top w:val="nil"/>
              <w:left w:val="nil"/>
              <w:bottom w:val="single" w:sz="4" w:space="0" w:color="auto"/>
              <w:right w:val="single" w:sz="4" w:space="0" w:color="auto"/>
            </w:tcBorders>
            <w:shd w:val="clear" w:color="auto" w:fill="auto"/>
            <w:noWrap/>
            <w:vAlign w:val="center"/>
            <w:hideMark/>
          </w:tcPr>
          <w:p w14:paraId="664A3C1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2,428.00 </w:t>
            </w:r>
          </w:p>
        </w:tc>
        <w:tc>
          <w:tcPr>
            <w:tcW w:w="1651" w:type="dxa"/>
            <w:tcBorders>
              <w:top w:val="nil"/>
              <w:left w:val="nil"/>
              <w:bottom w:val="single" w:sz="4" w:space="0" w:color="auto"/>
              <w:right w:val="single" w:sz="4" w:space="0" w:color="auto"/>
            </w:tcBorders>
            <w:shd w:val="clear" w:color="auto" w:fill="auto"/>
            <w:noWrap/>
            <w:vAlign w:val="center"/>
            <w:hideMark/>
          </w:tcPr>
          <w:p w14:paraId="48EFD1D6"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7,713.00 </w:t>
            </w:r>
          </w:p>
        </w:tc>
      </w:tr>
      <w:tr w:rsidR="00752B94" w:rsidRPr="00752B94" w14:paraId="359A50B7"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673C0ECC"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 xml:space="preserve"> 2 建安工程费</w:t>
            </w:r>
          </w:p>
        </w:tc>
        <w:tc>
          <w:tcPr>
            <w:tcW w:w="1619" w:type="dxa"/>
            <w:tcBorders>
              <w:top w:val="nil"/>
              <w:left w:val="nil"/>
              <w:bottom w:val="single" w:sz="4" w:space="0" w:color="auto"/>
              <w:right w:val="single" w:sz="4" w:space="0" w:color="auto"/>
            </w:tcBorders>
            <w:shd w:val="clear" w:color="auto" w:fill="auto"/>
            <w:noWrap/>
            <w:vAlign w:val="center"/>
            <w:hideMark/>
          </w:tcPr>
          <w:p w14:paraId="0610962F"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48,832.00 </w:t>
            </w:r>
          </w:p>
        </w:tc>
        <w:tc>
          <w:tcPr>
            <w:tcW w:w="1619" w:type="dxa"/>
            <w:tcBorders>
              <w:top w:val="nil"/>
              <w:left w:val="nil"/>
              <w:bottom w:val="single" w:sz="4" w:space="0" w:color="auto"/>
              <w:right w:val="single" w:sz="4" w:space="0" w:color="auto"/>
            </w:tcBorders>
            <w:shd w:val="clear" w:color="auto" w:fill="auto"/>
            <w:noWrap/>
            <w:vAlign w:val="center"/>
            <w:hideMark/>
          </w:tcPr>
          <w:p w14:paraId="455E3608"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82,232.00 </w:t>
            </w:r>
          </w:p>
        </w:tc>
        <w:tc>
          <w:tcPr>
            <w:tcW w:w="1619" w:type="dxa"/>
            <w:tcBorders>
              <w:top w:val="nil"/>
              <w:left w:val="nil"/>
              <w:bottom w:val="single" w:sz="4" w:space="0" w:color="auto"/>
              <w:right w:val="single" w:sz="4" w:space="0" w:color="auto"/>
            </w:tcBorders>
            <w:shd w:val="clear" w:color="auto" w:fill="auto"/>
            <w:noWrap/>
            <w:vAlign w:val="center"/>
            <w:hideMark/>
          </w:tcPr>
          <w:p w14:paraId="4A4BAA2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77,810.00 </w:t>
            </w:r>
          </w:p>
        </w:tc>
        <w:tc>
          <w:tcPr>
            <w:tcW w:w="1651" w:type="dxa"/>
            <w:tcBorders>
              <w:top w:val="nil"/>
              <w:left w:val="nil"/>
              <w:bottom w:val="single" w:sz="4" w:space="0" w:color="auto"/>
              <w:right w:val="single" w:sz="4" w:space="0" w:color="auto"/>
            </w:tcBorders>
            <w:shd w:val="clear" w:color="auto" w:fill="auto"/>
            <w:noWrap/>
            <w:vAlign w:val="center"/>
            <w:hideMark/>
          </w:tcPr>
          <w:p w14:paraId="53CB3418"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208,874.00 </w:t>
            </w:r>
          </w:p>
        </w:tc>
      </w:tr>
      <w:tr w:rsidR="00752B94" w:rsidRPr="00752B94" w14:paraId="3D7E7BFB"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C1747B5"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 xml:space="preserve"> 3 市政基础设施费   </w:t>
            </w:r>
          </w:p>
        </w:tc>
        <w:tc>
          <w:tcPr>
            <w:tcW w:w="1619" w:type="dxa"/>
            <w:tcBorders>
              <w:top w:val="nil"/>
              <w:left w:val="nil"/>
              <w:bottom w:val="single" w:sz="4" w:space="0" w:color="auto"/>
              <w:right w:val="single" w:sz="4" w:space="0" w:color="auto"/>
            </w:tcBorders>
            <w:shd w:val="clear" w:color="auto" w:fill="auto"/>
            <w:noWrap/>
            <w:vAlign w:val="center"/>
            <w:hideMark/>
          </w:tcPr>
          <w:p w14:paraId="2426D2A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14,871.00 </w:t>
            </w:r>
          </w:p>
        </w:tc>
        <w:tc>
          <w:tcPr>
            <w:tcW w:w="1619" w:type="dxa"/>
            <w:tcBorders>
              <w:top w:val="nil"/>
              <w:left w:val="nil"/>
              <w:bottom w:val="single" w:sz="4" w:space="0" w:color="auto"/>
              <w:right w:val="single" w:sz="4" w:space="0" w:color="auto"/>
            </w:tcBorders>
            <w:shd w:val="clear" w:color="auto" w:fill="auto"/>
            <w:noWrap/>
            <w:vAlign w:val="center"/>
            <w:hideMark/>
          </w:tcPr>
          <w:p w14:paraId="006D34A8"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20,871.00 </w:t>
            </w:r>
          </w:p>
        </w:tc>
        <w:tc>
          <w:tcPr>
            <w:tcW w:w="1619" w:type="dxa"/>
            <w:tcBorders>
              <w:top w:val="nil"/>
              <w:left w:val="nil"/>
              <w:bottom w:val="single" w:sz="4" w:space="0" w:color="auto"/>
              <w:right w:val="single" w:sz="4" w:space="0" w:color="auto"/>
            </w:tcBorders>
            <w:shd w:val="clear" w:color="auto" w:fill="auto"/>
            <w:noWrap/>
            <w:vAlign w:val="center"/>
            <w:hideMark/>
          </w:tcPr>
          <w:p w14:paraId="7889C388"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21,555.00 </w:t>
            </w:r>
          </w:p>
        </w:tc>
        <w:tc>
          <w:tcPr>
            <w:tcW w:w="1651" w:type="dxa"/>
            <w:tcBorders>
              <w:top w:val="nil"/>
              <w:left w:val="nil"/>
              <w:bottom w:val="single" w:sz="4" w:space="0" w:color="auto"/>
              <w:right w:val="single" w:sz="4" w:space="0" w:color="auto"/>
            </w:tcBorders>
            <w:shd w:val="clear" w:color="auto" w:fill="auto"/>
            <w:noWrap/>
            <w:vAlign w:val="center"/>
            <w:hideMark/>
          </w:tcPr>
          <w:p w14:paraId="581F2294"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57,297.00 </w:t>
            </w:r>
          </w:p>
        </w:tc>
      </w:tr>
      <w:tr w:rsidR="00752B94" w:rsidRPr="00752B94" w14:paraId="5287B6C0"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38671B75"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三 外围绿化、环境</w:t>
            </w:r>
          </w:p>
        </w:tc>
        <w:tc>
          <w:tcPr>
            <w:tcW w:w="1619" w:type="dxa"/>
            <w:tcBorders>
              <w:top w:val="nil"/>
              <w:left w:val="nil"/>
              <w:bottom w:val="single" w:sz="4" w:space="0" w:color="auto"/>
              <w:right w:val="single" w:sz="4" w:space="0" w:color="auto"/>
            </w:tcBorders>
            <w:shd w:val="clear" w:color="auto" w:fill="auto"/>
            <w:noWrap/>
            <w:vAlign w:val="center"/>
            <w:hideMark/>
          </w:tcPr>
          <w:p w14:paraId="66953816"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12,500.00 </w:t>
            </w:r>
          </w:p>
        </w:tc>
        <w:tc>
          <w:tcPr>
            <w:tcW w:w="1619" w:type="dxa"/>
            <w:tcBorders>
              <w:top w:val="nil"/>
              <w:left w:val="nil"/>
              <w:bottom w:val="single" w:sz="4" w:space="0" w:color="auto"/>
              <w:right w:val="single" w:sz="4" w:space="0" w:color="auto"/>
            </w:tcBorders>
            <w:shd w:val="clear" w:color="auto" w:fill="auto"/>
            <w:noWrap/>
            <w:vAlign w:val="center"/>
            <w:hideMark/>
          </w:tcPr>
          <w:p w14:paraId="05958301"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15,500.00 </w:t>
            </w:r>
          </w:p>
        </w:tc>
        <w:tc>
          <w:tcPr>
            <w:tcW w:w="1619" w:type="dxa"/>
            <w:tcBorders>
              <w:top w:val="nil"/>
              <w:left w:val="nil"/>
              <w:bottom w:val="single" w:sz="4" w:space="0" w:color="auto"/>
              <w:right w:val="single" w:sz="4" w:space="0" w:color="auto"/>
            </w:tcBorders>
            <w:shd w:val="clear" w:color="auto" w:fill="auto"/>
            <w:noWrap/>
            <w:vAlign w:val="center"/>
            <w:hideMark/>
          </w:tcPr>
          <w:p w14:paraId="53CF7D20"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11,000.00 </w:t>
            </w:r>
          </w:p>
        </w:tc>
        <w:tc>
          <w:tcPr>
            <w:tcW w:w="1651" w:type="dxa"/>
            <w:tcBorders>
              <w:top w:val="nil"/>
              <w:left w:val="nil"/>
              <w:bottom w:val="single" w:sz="4" w:space="0" w:color="auto"/>
              <w:right w:val="single" w:sz="4" w:space="0" w:color="auto"/>
            </w:tcBorders>
            <w:shd w:val="clear" w:color="auto" w:fill="auto"/>
            <w:noWrap/>
            <w:vAlign w:val="center"/>
            <w:hideMark/>
          </w:tcPr>
          <w:p w14:paraId="5A002491"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39,000.00 </w:t>
            </w:r>
          </w:p>
        </w:tc>
      </w:tr>
      <w:tr w:rsidR="00752B94" w:rsidRPr="00752B94" w14:paraId="66880E22" w14:textId="77777777" w:rsidTr="00752B94">
        <w:trPr>
          <w:trHeight w:val="302"/>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3B7AC90E"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四 开发间接费</w:t>
            </w:r>
            <w:r w:rsidRPr="00752B94">
              <w:rPr>
                <w:rFonts w:ascii="仿宋" w:eastAsia="仿宋" w:hAnsi="仿宋" w:hint="eastAsia"/>
                <w:b/>
                <w:bCs/>
                <w:color w:val="000000"/>
              </w:rPr>
              <w:br/>
              <w:t>（销售额*1.5%*0.4）</w:t>
            </w:r>
          </w:p>
        </w:tc>
        <w:tc>
          <w:tcPr>
            <w:tcW w:w="1619" w:type="dxa"/>
            <w:tcBorders>
              <w:top w:val="nil"/>
              <w:left w:val="nil"/>
              <w:bottom w:val="single" w:sz="4" w:space="0" w:color="auto"/>
              <w:right w:val="single" w:sz="4" w:space="0" w:color="auto"/>
            </w:tcBorders>
            <w:shd w:val="clear" w:color="auto" w:fill="auto"/>
            <w:noWrap/>
            <w:vAlign w:val="center"/>
            <w:hideMark/>
          </w:tcPr>
          <w:p w14:paraId="707FE7BD"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1,184.00 </w:t>
            </w:r>
          </w:p>
        </w:tc>
        <w:tc>
          <w:tcPr>
            <w:tcW w:w="1619" w:type="dxa"/>
            <w:tcBorders>
              <w:top w:val="nil"/>
              <w:left w:val="nil"/>
              <w:bottom w:val="single" w:sz="4" w:space="0" w:color="auto"/>
              <w:right w:val="single" w:sz="4" w:space="0" w:color="auto"/>
            </w:tcBorders>
            <w:shd w:val="clear" w:color="auto" w:fill="auto"/>
            <w:noWrap/>
            <w:vAlign w:val="center"/>
            <w:hideMark/>
          </w:tcPr>
          <w:p w14:paraId="75EA2CB3"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1,400.00 </w:t>
            </w:r>
          </w:p>
        </w:tc>
        <w:tc>
          <w:tcPr>
            <w:tcW w:w="1619" w:type="dxa"/>
            <w:tcBorders>
              <w:top w:val="nil"/>
              <w:left w:val="nil"/>
              <w:bottom w:val="single" w:sz="4" w:space="0" w:color="auto"/>
              <w:right w:val="single" w:sz="4" w:space="0" w:color="auto"/>
            </w:tcBorders>
            <w:shd w:val="clear" w:color="auto" w:fill="auto"/>
            <w:noWrap/>
            <w:vAlign w:val="center"/>
            <w:hideMark/>
          </w:tcPr>
          <w:p w14:paraId="33C1D6B9"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1,640.00 </w:t>
            </w:r>
          </w:p>
        </w:tc>
        <w:tc>
          <w:tcPr>
            <w:tcW w:w="1651" w:type="dxa"/>
            <w:tcBorders>
              <w:top w:val="nil"/>
              <w:left w:val="nil"/>
              <w:bottom w:val="single" w:sz="4" w:space="0" w:color="auto"/>
              <w:right w:val="single" w:sz="4" w:space="0" w:color="auto"/>
            </w:tcBorders>
            <w:shd w:val="clear" w:color="auto" w:fill="auto"/>
            <w:noWrap/>
            <w:vAlign w:val="center"/>
            <w:hideMark/>
          </w:tcPr>
          <w:p w14:paraId="2E574F40"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4,224.00 </w:t>
            </w:r>
          </w:p>
        </w:tc>
      </w:tr>
      <w:tr w:rsidR="00752B94" w:rsidRPr="00752B94" w14:paraId="0516C989"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0C931DEC"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直接成本小计</w:t>
            </w:r>
          </w:p>
        </w:tc>
        <w:tc>
          <w:tcPr>
            <w:tcW w:w="1619" w:type="dxa"/>
            <w:tcBorders>
              <w:top w:val="nil"/>
              <w:left w:val="nil"/>
              <w:bottom w:val="single" w:sz="4" w:space="0" w:color="auto"/>
              <w:right w:val="single" w:sz="4" w:space="0" w:color="auto"/>
            </w:tcBorders>
            <w:shd w:val="clear" w:color="auto" w:fill="auto"/>
            <w:noWrap/>
            <w:vAlign w:val="center"/>
            <w:hideMark/>
          </w:tcPr>
          <w:p w14:paraId="02EFABF9"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96,834.38 </w:t>
            </w:r>
          </w:p>
        </w:tc>
        <w:tc>
          <w:tcPr>
            <w:tcW w:w="1619" w:type="dxa"/>
            <w:tcBorders>
              <w:top w:val="nil"/>
              <w:left w:val="nil"/>
              <w:bottom w:val="single" w:sz="4" w:space="0" w:color="auto"/>
              <w:right w:val="single" w:sz="4" w:space="0" w:color="auto"/>
            </w:tcBorders>
            <w:shd w:val="clear" w:color="auto" w:fill="auto"/>
            <w:noWrap/>
            <w:vAlign w:val="center"/>
            <w:hideMark/>
          </w:tcPr>
          <w:p w14:paraId="3FA51CA4"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150,989.70 </w:t>
            </w:r>
          </w:p>
        </w:tc>
        <w:tc>
          <w:tcPr>
            <w:tcW w:w="1619" w:type="dxa"/>
            <w:tcBorders>
              <w:top w:val="nil"/>
              <w:left w:val="nil"/>
              <w:bottom w:val="single" w:sz="4" w:space="0" w:color="auto"/>
              <w:right w:val="single" w:sz="4" w:space="0" w:color="auto"/>
            </w:tcBorders>
            <w:shd w:val="clear" w:color="auto" w:fill="auto"/>
            <w:noWrap/>
            <w:vAlign w:val="center"/>
            <w:hideMark/>
          </w:tcPr>
          <w:p w14:paraId="3C48875D"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139,883.92 </w:t>
            </w:r>
          </w:p>
        </w:tc>
        <w:tc>
          <w:tcPr>
            <w:tcW w:w="1651" w:type="dxa"/>
            <w:tcBorders>
              <w:top w:val="nil"/>
              <w:left w:val="nil"/>
              <w:bottom w:val="single" w:sz="4" w:space="0" w:color="auto"/>
              <w:right w:val="single" w:sz="4" w:space="0" w:color="auto"/>
            </w:tcBorders>
            <w:shd w:val="clear" w:color="auto" w:fill="auto"/>
            <w:noWrap/>
            <w:vAlign w:val="center"/>
            <w:hideMark/>
          </w:tcPr>
          <w:p w14:paraId="457DC5B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387,708.00 </w:t>
            </w:r>
          </w:p>
        </w:tc>
      </w:tr>
      <w:tr w:rsidR="00752B94" w:rsidRPr="00752B94" w14:paraId="78B092FB"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563E4E41"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五 销售费用</w:t>
            </w:r>
          </w:p>
        </w:tc>
        <w:tc>
          <w:tcPr>
            <w:tcW w:w="1619" w:type="dxa"/>
            <w:tcBorders>
              <w:top w:val="nil"/>
              <w:left w:val="nil"/>
              <w:bottom w:val="single" w:sz="4" w:space="0" w:color="auto"/>
              <w:right w:val="single" w:sz="4" w:space="0" w:color="auto"/>
            </w:tcBorders>
            <w:shd w:val="clear" w:color="auto" w:fill="auto"/>
            <w:noWrap/>
            <w:vAlign w:val="center"/>
            <w:hideMark/>
          </w:tcPr>
          <w:p w14:paraId="2F4D0A60"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3,552.00 </w:t>
            </w:r>
          </w:p>
        </w:tc>
        <w:tc>
          <w:tcPr>
            <w:tcW w:w="1619" w:type="dxa"/>
            <w:tcBorders>
              <w:top w:val="nil"/>
              <w:left w:val="nil"/>
              <w:bottom w:val="single" w:sz="4" w:space="0" w:color="auto"/>
              <w:right w:val="single" w:sz="4" w:space="0" w:color="auto"/>
            </w:tcBorders>
            <w:shd w:val="clear" w:color="auto" w:fill="auto"/>
            <w:noWrap/>
            <w:vAlign w:val="center"/>
            <w:hideMark/>
          </w:tcPr>
          <w:p w14:paraId="3993DAE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4,208.00 </w:t>
            </w:r>
          </w:p>
        </w:tc>
        <w:tc>
          <w:tcPr>
            <w:tcW w:w="1619" w:type="dxa"/>
            <w:tcBorders>
              <w:top w:val="nil"/>
              <w:left w:val="nil"/>
              <w:bottom w:val="single" w:sz="4" w:space="0" w:color="auto"/>
              <w:right w:val="single" w:sz="4" w:space="0" w:color="auto"/>
            </w:tcBorders>
            <w:shd w:val="clear" w:color="auto" w:fill="auto"/>
            <w:noWrap/>
            <w:vAlign w:val="center"/>
            <w:hideMark/>
          </w:tcPr>
          <w:p w14:paraId="78414ABF"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4,930.00 </w:t>
            </w:r>
          </w:p>
        </w:tc>
        <w:tc>
          <w:tcPr>
            <w:tcW w:w="1651" w:type="dxa"/>
            <w:tcBorders>
              <w:top w:val="nil"/>
              <w:left w:val="nil"/>
              <w:bottom w:val="single" w:sz="4" w:space="0" w:color="auto"/>
              <w:right w:val="single" w:sz="4" w:space="0" w:color="auto"/>
            </w:tcBorders>
            <w:shd w:val="clear" w:color="auto" w:fill="auto"/>
            <w:noWrap/>
            <w:vAlign w:val="center"/>
            <w:hideMark/>
          </w:tcPr>
          <w:p w14:paraId="7BDD6D21"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12,690.00 </w:t>
            </w:r>
          </w:p>
        </w:tc>
      </w:tr>
      <w:tr w:rsidR="00752B94" w:rsidRPr="00752B94" w14:paraId="12129A5F" w14:textId="77777777" w:rsidTr="00752B94">
        <w:trPr>
          <w:trHeight w:val="302"/>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29039B19"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lastRenderedPageBreak/>
              <w:t>六管理费用</w:t>
            </w:r>
            <w:r w:rsidRPr="00752B94">
              <w:rPr>
                <w:rFonts w:ascii="仿宋" w:eastAsia="仿宋" w:hAnsi="仿宋" w:hint="eastAsia"/>
                <w:b/>
                <w:bCs/>
                <w:color w:val="000000"/>
              </w:rPr>
              <w:br/>
              <w:t>（销售额*1.5%*0.6）</w:t>
            </w:r>
          </w:p>
        </w:tc>
        <w:tc>
          <w:tcPr>
            <w:tcW w:w="1619" w:type="dxa"/>
            <w:tcBorders>
              <w:top w:val="nil"/>
              <w:left w:val="nil"/>
              <w:bottom w:val="single" w:sz="4" w:space="0" w:color="auto"/>
              <w:right w:val="single" w:sz="4" w:space="0" w:color="auto"/>
            </w:tcBorders>
            <w:shd w:val="clear" w:color="auto" w:fill="auto"/>
            <w:noWrap/>
            <w:vAlign w:val="center"/>
            <w:hideMark/>
          </w:tcPr>
          <w:p w14:paraId="0A61E7ED"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1,440.00 </w:t>
            </w:r>
          </w:p>
        </w:tc>
        <w:tc>
          <w:tcPr>
            <w:tcW w:w="1619" w:type="dxa"/>
            <w:tcBorders>
              <w:top w:val="nil"/>
              <w:left w:val="nil"/>
              <w:bottom w:val="single" w:sz="4" w:space="0" w:color="auto"/>
              <w:right w:val="single" w:sz="4" w:space="0" w:color="auto"/>
            </w:tcBorders>
            <w:shd w:val="clear" w:color="auto" w:fill="auto"/>
            <w:noWrap/>
            <w:vAlign w:val="center"/>
            <w:hideMark/>
          </w:tcPr>
          <w:p w14:paraId="690B1A6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1,808.00 </w:t>
            </w:r>
          </w:p>
        </w:tc>
        <w:tc>
          <w:tcPr>
            <w:tcW w:w="1619" w:type="dxa"/>
            <w:tcBorders>
              <w:top w:val="nil"/>
              <w:left w:val="nil"/>
              <w:bottom w:val="single" w:sz="4" w:space="0" w:color="auto"/>
              <w:right w:val="single" w:sz="4" w:space="0" w:color="auto"/>
            </w:tcBorders>
            <w:shd w:val="clear" w:color="auto" w:fill="auto"/>
            <w:noWrap/>
            <w:vAlign w:val="center"/>
            <w:hideMark/>
          </w:tcPr>
          <w:p w14:paraId="6A00E12B"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2,120.00 </w:t>
            </w:r>
          </w:p>
        </w:tc>
        <w:tc>
          <w:tcPr>
            <w:tcW w:w="1651" w:type="dxa"/>
            <w:tcBorders>
              <w:top w:val="nil"/>
              <w:left w:val="nil"/>
              <w:bottom w:val="single" w:sz="4" w:space="0" w:color="auto"/>
              <w:right w:val="single" w:sz="4" w:space="0" w:color="auto"/>
            </w:tcBorders>
            <w:shd w:val="clear" w:color="auto" w:fill="auto"/>
            <w:noWrap/>
            <w:vAlign w:val="center"/>
            <w:hideMark/>
          </w:tcPr>
          <w:p w14:paraId="3ECB2336"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5,368.00 </w:t>
            </w:r>
          </w:p>
        </w:tc>
      </w:tr>
      <w:tr w:rsidR="00752B94" w:rsidRPr="00752B94" w14:paraId="795CBED5"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6EB8FA7D"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七 财务费用</w:t>
            </w:r>
          </w:p>
        </w:tc>
        <w:tc>
          <w:tcPr>
            <w:tcW w:w="1619" w:type="dxa"/>
            <w:tcBorders>
              <w:top w:val="nil"/>
              <w:left w:val="nil"/>
              <w:bottom w:val="single" w:sz="4" w:space="0" w:color="auto"/>
              <w:right w:val="single" w:sz="4" w:space="0" w:color="auto"/>
            </w:tcBorders>
            <w:shd w:val="clear" w:color="auto" w:fill="auto"/>
            <w:noWrap/>
            <w:vAlign w:val="center"/>
            <w:hideMark/>
          </w:tcPr>
          <w:p w14:paraId="496E6E4B"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12,814.19 </w:t>
            </w:r>
          </w:p>
        </w:tc>
        <w:tc>
          <w:tcPr>
            <w:tcW w:w="1619" w:type="dxa"/>
            <w:tcBorders>
              <w:top w:val="nil"/>
              <w:left w:val="nil"/>
              <w:bottom w:val="single" w:sz="4" w:space="0" w:color="auto"/>
              <w:right w:val="single" w:sz="4" w:space="0" w:color="auto"/>
            </w:tcBorders>
            <w:shd w:val="clear" w:color="auto" w:fill="auto"/>
            <w:noWrap/>
            <w:vAlign w:val="center"/>
            <w:hideMark/>
          </w:tcPr>
          <w:p w14:paraId="2C8A07D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20,040.39 </w:t>
            </w:r>
          </w:p>
        </w:tc>
        <w:tc>
          <w:tcPr>
            <w:tcW w:w="1619" w:type="dxa"/>
            <w:tcBorders>
              <w:top w:val="nil"/>
              <w:left w:val="nil"/>
              <w:bottom w:val="single" w:sz="4" w:space="0" w:color="auto"/>
              <w:right w:val="single" w:sz="4" w:space="0" w:color="auto"/>
            </w:tcBorders>
            <w:shd w:val="clear" w:color="auto" w:fill="auto"/>
            <w:noWrap/>
            <w:vAlign w:val="center"/>
            <w:hideMark/>
          </w:tcPr>
          <w:p w14:paraId="465B9FB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18,520.41 </w:t>
            </w:r>
          </w:p>
        </w:tc>
        <w:tc>
          <w:tcPr>
            <w:tcW w:w="1651" w:type="dxa"/>
            <w:tcBorders>
              <w:top w:val="nil"/>
              <w:left w:val="nil"/>
              <w:bottom w:val="single" w:sz="4" w:space="0" w:color="auto"/>
              <w:right w:val="single" w:sz="4" w:space="0" w:color="auto"/>
            </w:tcBorders>
            <w:shd w:val="clear" w:color="auto" w:fill="auto"/>
            <w:noWrap/>
            <w:vAlign w:val="center"/>
            <w:hideMark/>
          </w:tcPr>
          <w:p w14:paraId="440B1CCD" w14:textId="77777777" w:rsidR="00752B94" w:rsidRPr="00752B94" w:rsidRDefault="00752B94" w:rsidP="00752B94">
            <w:pPr>
              <w:jc w:val="center"/>
              <w:rPr>
                <w:rFonts w:ascii="仿宋" w:eastAsia="仿宋" w:hAnsi="仿宋"/>
              </w:rPr>
            </w:pPr>
            <w:r w:rsidRPr="00752B94">
              <w:rPr>
                <w:rFonts w:ascii="仿宋" w:eastAsia="仿宋" w:hAnsi="仿宋" w:hint="eastAsia"/>
              </w:rPr>
              <w:t xml:space="preserve"> 51,375.00 </w:t>
            </w:r>
          </w:p>
        </w:tc>
      </w:tr>
      <w:tr w:rsidR="00752B94" w:rsidRPr="00752B94" w14:paraId="679106B5"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611F3D3"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八 税金</w:t>
            </w:r>
          </w:p>
        </w:tc>
        <w:tc>
          <w:tcPr>
            <w:tcW w:w="1619" w:type="dxa"/>
            <w:tcBorders>
              <w:top w:val="nil"/>
              <w:left w:val="nil"/>
              <w:bottom w:val="single" w:sz="4" w:space="0" w:color="auto"/>
              <w:right w:val="single" w:sz="4" w:space="0" w:color="auto"/>
            </w:tcBorders>
            <w:shd w:val="clear" w:color="auto" w:fill="auto"/>
            <w:noWrap/>
            <w:vAlign w:val="center"/>
            <w:hideMark/>
          </w:tcPr>
          <w:p w14:paraId="29C3EEFF"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11,160.00 </w:t>
            </w:r>
          </w:p>
        </w:tc>
        <w:tc>
          <w:tcPr>
            <w:tcW w:w="1619" w:type="dxa"/>
            <w:tcBorders>
              <w:top w:val="nil"/>
              <w:left w:val="nil"/>
              <w:bottom w:val="single" w:sz="4" w:space="0" w:color="auto"/>
              <w:right w:val="single" w:sz="4" w:space="0" w:color="auto"/>
            </w:tcBorders>
            <w:shd w:val="clear" w:color="auto" w:fill="auto"/>
            <w:noWrap/>
            <w:vAlign w:val="center"/>
            <w:hideMark/>
          </w:tcPr>
          <w:p w14:paraId="5CB48487"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13,224.00 </w:t>
            </w:r>
          </w:p>
        </w:tc>
        <w:tc>
          <w:tcPr>
            <w:tcW w:w="1619" w:type="dxa"/>
            <w:tcBorders>
              <w:top w:val="nil"/>
              <w:left w:val="nil"/>
              <w:bottom w:val="single" w:sz="4" w:space="0" w:color="auto"/>
              <w:right w:val="single" w:sz="4" w:space="0" w:color="auto"/>
            </w:tcBorders>
            <w:shd w:val="clear" w:color="auto" w:fill="auto"/>
            <w:noWrap/>
            <w:vAlign w:val="center"/>
            <w:hideMark/>
          </w:tcPr>
          <w:p w14:paraId="144D0B5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15,460.00 </w:t>
            </w:r>
          </w:p>
        </w:tc>
        <w:tc>
          <w:tcPr>
            <w:tcW w:w="1651" w:type="dxa"/>
            <w:tcBorders>
              <w:top w:val="nil"/>
              <w:left w:val="nil"/>
              <w:bottom w:val="single" w:sz="4" w:space="0" w:color="auto"/>
              <w:right w:val="single" w:sz="4" w:space="0" w:color="auto"/>
            </w:tcBorders>
            <w:shd w:val="clear" w:color="auto" w:fill="auto"/>
            <w:noWrap/>
            <w:vAlign w:val="center"/>
            <w:hideMark/>
          </w:tcPr>
          <w:p w14:paraId="6AB97381" w14:textId="77777777" w:rsidR="00752B94" w:rsidRPr="00752B94" w:rsidRDefault="00752B94" w:rsidP="00752B94">
            <w:pPr>
              <w:jc w:val="center"/>
              <w:rPr>
                <w:rFonts w:ascii="仿宋" w:eastAsia="仿宋" w:hAnsi="仿宋"/>
              </w:rPr>
            </w:pPr>
            <w:r w:rsidRPr="00752B94">
              <w:rPr>
                <w:rFonts w:ascii="仿宋" w:eastAsia="仿宋" w:hAnsi="仿宋" w:hint="eastAsia"/>
              </w:rPr>
              <w:t xml:space="preserve"> 39,844.00 </w:t>
            </w:r>
          </w:p>
        </w:tc>
      </w:tr>
      <w:tr w:rsidR="00752B94" w:rsidRPr="00752B94" w14:paraId="4A8D69A0"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41BB4EB5"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完全成本</w:t>
            </w:r>
          </w:p>
        </w:tc>
        <w:tc>
          <w:tcPr>
            <w:tcW w:w="1619" w:type="dxa"/>
            <w:tcBorders>
              <w:top w:val="nil"/>
              <w:left w:val="nil"/>
              <w:bottom w:val="single" w:sz="4" w:space="0" w:color="auto"/>
              <w:right w:val="single" w:sz="4" w:space="0" w:color="auto"/>
            </w:tcBorders>
            <w:shd w:val="clear" w:color="auto" w:fill="auto"/>
            <w:noWrap/>
            <w:vAlign w:val="center"/>
            <w:hideMark/>
          </w:tcPr>
          <w:p w14:paraId="49C7406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125,800.58 </w:t>
            </w:r>
          </w:p>
        </w:tc>
        <w:tc>
          <w:tcPr>
            <w:tcW w:w="1619" w:type="dxa"/>
            <w:tcBorders>
              <w:top w:val="nil"/>
              <w:left w:val="nil"/>
              <w:bottom w:val="single" w:sz="4" w:space="0" w:color="auto"/>
              <w:right w:val="single" w:sz="4" w:space="0" w:color="auto"/>
            </w:tcBorders>
            <w:shd w:val="clear" w:color="auto" w:fill="auto"/>
            <w:noWrap/>
            <w:vAlign w:val="center"/>
            <w:hideMark/>
          </w:tcPr>
          <w:p w14:paraId="7BFDC624"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190,270.09 </w:t>
            </w:r>
          </w:p>
        </w:tc>
        <w:tc>
          <w:tcPr>
            <w:tcW w:w="1619" w:type="dxa"/>
            <w:tcBorders>
              <w:top w:val="nil"/>
              <w:left w:val="nil"/>
              <w:bottom w:val="single" w:sz="4" w:space="0" w:color="auto"/>
              <w:right w:val="single" w:sz="4" w:space="0" w:color="auto"/>
            </w:tcBorders>
            <w:shd w:val="clear" w:color="auto" w:fill="auto"/>
            <w:noWrap/>
            <w:vAlign w:val="center"/>
            <w:hideMark/>
          </w:tcPr>
          <w:p w14:paraId="51A74B6A"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180,914.33 </w:t>
            </w:r>
          </w:p>
        </w:tc>
        <w:tc>
          <w:tcPr>
            <w:tcW w:w="1651" w:type="dxa"/>
            <w:tcBorders>
              <w:top w:val="nil"/>
              <w:left w:val="nil"/>
              <w:bottom w:val="single" w:sz="4" w:space="0" w:color="auto"/>
              <w:right w:val="single" w:sz="4" w:space="0" w:color="auto"/>
            </w:tcBorders>
            <w:shd w:val="clear" w:color="auto" w:fill="auto"/>
            <w:noWrap/>
            <w:vAlign w:val="center"/>
            <w:hideMark/>
          </w:tcPr>
          <w:p w14:paraId="1A04F08F" w14:textId="77777777" w:rsidR="00752B94" w:rsidRPr="00752B94" w:rsidRDefault="00752B94" w:rsidP="00752B94">
            <w:pPr>
              <w:jc w:val="center"/>
              <w:rPr>
                <w:rFonts w:ascii="仿宋" w:eastAsia="仿宋" w:hAnsi="仿宋"/>
                <w:b/>
                <w:bCs/>
              </w:rPr>
            </w:pPr>
            <w:r w:rsidRPr="00752B94">
              <w:rPr>
                <w:rFonts w:ascii="仿宋" w:eastAsia="仿宋" w:hAnsi="仿宋" w:hint="eastAsia"/>
                <w:b/>
                <w:bCs/>
              </w:rPr>
              <w:t xml:space="preserve"> 496,985.00 </w:t>
            </w:r>
          </w:p>
        </w:tc>
      </w:tr>
      <w:tr w:rsidR="00752B94" w:rsidRPr="00752B94" w14:paraId="3A97FDC8"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2E1A0A80"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销售收入</w:t>
            </w:r>
          </w:p>
        </w:tc>
        <w:tc>
          <w:tcPr>
            <w:tcW w:w="1619" w:type="dxa"/>
            <w:tcBorders>
              <w:top w:val="nil"/>
              <w:left w:val="nil"/>
              <w:bottom w:val="single" w:sz="4" w:space="0" w:color="auto"/>
              <w:right w:val="single" w:sz="4" w:space="0" w:color="auto"/>
            </w:tcBorders>
            <w:shd w:val="clear" w:color="auto" w:fill="auto"/>
            <w:noWrap/>
            <w:vAlign w:val="center"/>
            <w:hideMark/>
          </w:tcPr>
          <w:p w14:paraId="38118F24"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159,801.00 </w:t>
            </w:r>
          </w:p>
        </w:tc>
        <w:tc>
          <w:tcPr>
            <w:tcW w:w="1619" w:type="dxa"/>
            <w:tcBorders>
              <w:top w:val="nil"/>
              <w:left w:val="nil"/>
              <w:bottom w:val="single" w:sz="4" w:space="0" w:color="auto"/>
              <w:right w:val="single" w:sz="4" w:space="0" w:color="auto"/>
            </w:tcBorders>
            <w:shd w:val="clear" w:color="auto" w:fill="auto"/>
            <w:noWrap/>
            <w:vAlign w:val="center"/>
            <w:hideMark/>
          </w:tcPr>
          <w:p w14:paraId="14AD2C3A"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225,524.00 </w:t>
            </w:r>
          </w:p>
        </w:tc>
        <w:tc>
          <w:tcPr>
            <w:tcW w:w="1619" w:type="dxa"/>
            <w:tcBorders>
              <w:top w:val="nil"/>
              <w:left w:val="nil"/>
              <w:bottom w:val="single" w:sz="4" w:space="0" w:color="auto"/>
              <w:right w:val="single" w:sz="4" w:space="0" w:color="auto"/>
            </w:tcBorders>
            <w:shd w:val="clear" w:color="auto" w:fill="auto"/>
            <w:noWrap/>
            <w:vAlign w:val="center"/>
            <w:hideMark/>
          </w:tcPr>
          <w:p w14:paraId="52865FDF"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193,183.00 </w:t>
            </w:r>
          </w:p>
        </w:tc>
        <w:tc>
          <w:tcPr>
            <w:tcW w:w="1651" w:type="dxa"/>
            <w:tcBorders>
              <w:top w:val="nil"/>
              <w:left w:val="nil"/>
              <w:bottom w:val="single" w:sz="4" w:space="0" w:color="auto"/>
              <w:right w:val="single" w:sz="4" w:space="0" w:color="auto"/>
            </w:tcBorders>
            <w:shd w:val="clear" w:color="auto" w:fill="auto"/>
            <w:noWrap/>
            <w:vAlign w:val="center"/>
            <w:hideMark/>
          </w:tcPr>
          <w:p w14:paraId="0818CDB3" w14:textId="77777777" w:rsidR="00752B94" w:rsidRPr="00752B94" w:rsidRDefault="00752B94" w:rsidP="00752B94">
            <w:pPr>
              <w:jc w:val="center"/>
              <w:rPr>
                <w:rFonts w:ascii="仿宋" w:eastAsia="仿宋" w:hAnsi="仿宋"/>
                <w:b/>
                <w:bCs/>
              </w:rPr>
            </w:pPr>
            <w:r w:rsidRPr="00752B94">
              <w:rPr>
                <w:rFonts w:ascii="仿宋" w:eastAsia="仿宋" w:hAnsi="仿宋" w:hint="eastAsia"/>
                <w:b/>
                <w:bCs/>
              </w:rPr>
              <w:t xml:space="preserve"> 578,508.00 </w:t>
            </w:r>
          </w:p>
        </w:tc>
      </w:tr>
      <w:tr w:rsidR="00752B94" w:rsidRPr="00752B94" w14:paraId="660428B2"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3EFAC82"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毛利（所得税前）</w:t>
            </w:r>
          </w:p>
        </w:tc>
        <w:tc>
          <w:tcPr>
            <w:tcW w:w="1619" w:type="dxa"/>
            <w:tcBorders>
              <w:top w:val="nil"/>
              <w:left w:val="nil"/>
              <w:bottom w:val="single" w:sz="4" w:space="0" w:color="auto"/>
              <w:right w:val="single" w:sz="4" w:space="0" w:color="auto"/>
            </w:tcBorders>
            <w:shd w:val="clear" w:color="auto" w:fill="auto"/>
            <w:noWrap/>
            <w:vAlign w:val="center"/>
            <w:hideMark/>
          </w:tcPr>
          <w:p w14:paraId="4CB9E2A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34,000.42 </w:t>
            </w:r>
          </w:p>
        </w:tc>
        <w:tc>
          <w:tcPr>
            <w:tcW w:w="1619" w:type="dxa"/>
            <w:tcBorders>
              <w:top w:val="nil"/>
              <w:left w:val="nil"/>
              <w:bottom w:val="single" w:sz="4" w:space="0" w:color="auto"/>
              <w:right w:val="single" w:sz="4" w:space="0" w:color="auto"/>
            </w:tcBorders>
            <w:shd w:val="clear" w:color="auto" w:fill="auto"/>
            <w:noWrap/>
            <w:vAlign w:val="center"/>
            <w:hideMark/>
          </w:tcPr>
          <w:p w14:paraId="1239CC9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35,253.91 </w:t>
            </w:r>
          </w:p>
        </w:tc>
        <w:tc>
          <w:tcPr>
            <w:tcW w:w="1619" w:type="dxa"/>
            <w:tcBorders>
              <w:top w:val="nil"/>
              <w:left w:val="nil"/>
              <w:bottom w:val="single" w:sz="4" w:space="0" w:color="auto"/>
              <w:right w:val="single" w:sz="4" w:space="0" w:color="auto"/>
            </w:tcBorders>
            <w:shd w:val="clear" w:color="auto" w:fill="auto"/>
            <w:noWrap/>
            <w:vAlign w:val="center"/>
            <w:hideMark/>
          </w:tcPr>
          <w:p w14:paraId="4E6B344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12,268.67 </w:t>
            </w:r>
          </w:p>
        </w:tc>
        <w:tc>
          <w:tcPr>
            <w:tcW w:w="1651" w:type="dxa"/>
            <w:tcBorders>
              <w:top w:val="nil"/>
              <w:left w:val="nil"/>
              <w:bottom w:val="single" w:sz="4" w:space="0" w:color="auto"/>
              <w:right w:val="single" w:sz="4" w:space="0" w:color="auto"/>
            </w:tcBorders>
            <w:shd w:val="clear" w:color="auto" w:fill="auto"/>
            <w:noWrap/>
            <w:vAlign w:val="center"/>
            <w:hideMark/>
          </w:tcPr>
          <w:p w14:paraId="01C10C5E"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81,523.00 </w:t>
            </w:r>
          </w:p>
        </w:tc>
      </w:tr>
      <w:tr w:rsidR="00752B94" w:rsidRPr="00752B94" w14:paraId="3621C17C"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489A177F"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股东净利润</w:t>
            </w:r>
          </w:p>
        </w:tc>
        <w:tc>
          <w:tcPr>
            <w:tcW w:w="1619" w:type="dxa"/>
            <w:tcBorders>
              <w:top w:val="nil"/>
              <w:left w:val="nil"/>
              <w:bottom w:val="single" w:sz="4" w:space="0" w:color="auto"/>
              <w:right w:val="single" w:sz="4" w:space="0" w:color="auto"/>
            </w:tcBorders>
            <w:shd w:val="clear" w:color="auto" w:fill="auto"/>
            <w:noWrap/>
            <w:vAlign w:val="center"/>
            <w:hideMark/>
          </w:tcPr>
          <w:p w14:paraId="5A844405"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25,500.32 </w:t>
            </w:r>
          </w:p>
        </w:tc>
        <w:tc>
          <w:tcPr>
            <w:tcW w:w="1619" w:type="dxa"/>
            <w:tcBorders>
              <w:top w:val="nil"/>
              <w:left w:val="nil"/>
              <w:bottom w:val="single" w:sz="4" w:space="0" w:color="auto"/>
              <w:right w:val="single" w:sz="4" w:space="0" w:color="auto"/>
            </w:tcBorders>
            <w:shd w:val="clear" w:color="auto" w:fill="auto"/>
            <w:noWrap/>
            <w:vAlign w:val="center"/>
            <w:hideMark/>
          </w:tcPr>
          <w:p w14:paraId="1F324856"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26,440.43 </w:t>
            </w:r>
          </w:p>
        </w:tc>
        <w:tc>
          <w:tcPr>
            <w:tcW w:w="1619" w:type="dxa"/>
            <w:tcBorders>
              <w:top w:val="nil"/>
              <w:left w:val="nil"/>
              <w:bottom w:val="single" w:sz="4" w:space="0" w:color="auto"/>
              <w:right w:val="single" w:sz="4" w:space="0" w:color="auto"/>
            </w:tcBorders>
            <w:shd w:val="clear" w:color="auto" w:fill="auto"/>
            <w:noWrap/>
            <w:vAlign w:val="center"/>
            <w:hideMark/>
          </w:tcPr>
          <w:p w14:paraId="670DE0E2"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9,201.50 </w:t>
            </w:r>
          </w:p>
        </w:tc>
        <w:tc>
          <w:tcPr>
            <w:tcW w:w="1651" w:type="dxa"/>
            <w:tcBorders>
              <w:top w:val="nil"/>
              <w:left w:val="nil"/>
              <w:bottom w:val="single" w:sz="4" w:space="0" w:color="auto"/>
              <w:right w:val="single" w:sz="4" w:space="0" w:color="auto"/>
            </w:tcBorders>
            <w:shd w:val="clear" w:color="auto" w:fill="auto"/>
            <w:noWrap/>
            <w:vAlign w:val="center"/>
            <w:hideMark/>
          </w:tcPr>
          <w:p w14:paraId="1A792F8C" w14:textId="77777777" w:rsidR="00752B94" w:rsidRPr="00752B94" w:rsidRDefault="00752B94" w:rsidP="00752B94">
            <w:pPr>
              <w:jc w:val="center"/>
              <w:rPr>
                <w:rFonts w:ascii="仿宋" w:eastAsia="仿宋" w:hAnsi="仿宋"/>
                <w:color w:val="000000"/>
              </w:rPr>
            </w:pPr>
            <w:r w:rsidRPr="00752B94">
              <w:rPr>
                <w:rFonts w:ascii="仿宋" w:eastAsia="仿宋" w:hAnsi="仿宋" w:hint="eastAsia"/>
                <w:color w:val="000000"/>
              </w:rPr>
              <w:t xml:space="preserve"> 61,142.25 </w:t>
            </w:r>
          </w:p>
        </w:tc>
      </w:tr>
      <w:tr w:rsidR="00752B94" w:rsidRPr="00752B94" w14:paraId="520C49F4" w14:textId="77777777" w:rsidTr="00752B94">
        <w:trPr>
          <w:trHeight w:val="161"/>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480891A8" w14:textId="77777777" w:rsidR="00752B94" w:rsidRPr="00752B94" w:rsidRDefault="00752B94" w:rsidP="00752B94">
            <w:pPr>
              <w:rPr>
                <w:rFonts w:ascii="仿宋" w:eastAsia="仿宋" w:hAnsi="仿宋"/>
                <w:b/>
                <w:bCs/>
                <w:color w:val="000000"/>
              </w:rPr>
            </w:pPr>
            <w:r w:rsidRPr="00752B94">
              <w:rPr>
                <w:rFonts w:ascii="仿宋" w:eastAsia="仿宋" w:hAnsi="仿宋" w:hint="eastAsia"/>
                <w:b/>
                <w:bCs/>
                <w:color w:val="000000"/>
              </w:rPr>
              <w:t>股东净利润率(股东净利润/收入）</w:t>
            </w:r>
          </w:p>
        </w:tc>
        <w:tc>
          <w:tcPr>
            <w:tcW w:w="1619" w:type="dxa"/>
            <w:tcBorders>
              <w:top w:val="nil"/>
              <w:left w:val="nil"/>
              <w:bottom w:val="single" w:sz="4" w:space="0" w:color="auto"/>
              <w:right w:val="single" w:sz="4" w:space="0" w:color="auto"/>
            </w:tcBorders>
            <w:shd w:val="clear" w:color="auto" w:fill="auto"/>
            <w:noWrap/>
            <w:vAlign w:val="center"/>
            <w:hideMark/>
          </w:tcPr>
          <w:p w14:paraId="0BC8AB2F" w14:textId="77777777" w:rsidR="00752B94" w:rsidRPr="00752B94" w:rsidRDefault="00752B94" w:rsidP="00752B94">
            <w:pPr>
              <w:jc w:val="right"/>
              <w:rPr>
                <w:rFonts w:ascii="仿宋" w:eastAsia="仿宋" w:hAnsi="仿宋"/>
                <w:color w:val="000000"/>
              </w:rPr>
            </w:pPr>
            <w:r w:rsidRPr="00752B94">
              <w:rPr>
                <w:rFonts w:ascii="仿宋" w:eastAsia="仿宋" w:hAnsi="仿宋" w:hint="eastAsia"/>
                <w:color w:val="000000"/>
              </w:rPr>
              <w:t>15.96%</w:t>
            </w:r>
          </w:p>
        </w:tc>
        <w:tc>
          <w:tcPr>
            <w:tcW w:w="1619" w:type="dxa"/>
            <w:tcBorders>
              <w:top w:val="nil"/>
              <w:left w:val="nil"/>
              <w:bottom w:val="single" w:sz="4" w:space="0" w:color="auto"/>
              <w:right w:val="single" w:sz="4" w:space="0" w:color="auto"/>
            </w:tcBorders>
            <w:shd w:val="clear" w:color="auto" w:fill="auto"/>
            <w:noWrap/>
            <w:vAlign w:val="center"/>
            <w:hideMark/>
          </w:tcPr>
          <w:p w14:paraId="2C5BD2B0" w14:textId="77777777" w:rsidR="00752B94" w:rsidRPr="00752B94" w:rsidRDefault="00752B94" w:rsidP="00752B94">
            <w:pPr>
              <w:jc w:val="right"/>
              <w:rPr>
                <w:rFonts w:ascii="仿宋" w:eastAsia="仿宋" w:hAnsi="仿宋"/>
                <w:color w:val="000000"/>
              </w:rPr>
            </w:pPr>
            <w:r w:rsidRPr="00752B94">
              <w:rPr>
                <w:rFonts w:ascii="仿宋" w:eastAsia="仿宋" w:hAnsi="仿宋" w:hint="eastAsia"/>
                <w:color w:val="000000"/>
              </w:rPr>
              <w:t>11.72%</w:t>
            </w:r>
          </w:p>
        </w:tc>
        <w:tc>
          <w:tcPr>
            <w:tcW w:w="1619" w:type="dxa"/>
            <w:tcBorders>
              <w:top w:val="nil"/>
              <w:left w:val="nil"/>
              <w:bottom w:val="single" w:sz="4" w:space="0" w:color="auto"/>
              <w:right w:val="single" w:sz="4" w:space="0" w:color="auto"/>
            </w:tcBorders>
            <w:shd w:val="clear" w:color="auto" w:fill="auto"/>
            <w:noWrap/>
            <w:vAlign w:val="center"/>
            <w:hideMark/>
          </w:tcPr>
          <w:p w14:paraId="59AE6EA5" w14:textId="77777777" w:rsidR="00752B94" w:rsidRPr="00752B94" w:rsidRDefault="00752B94" w:rsidP="00752B94">
            <w:pPr>
              <w:jc w:val="right"/>
              <w:rPr>
                <w:rFonts w:ascii="仿宋" w:eastAsia="仿宋" w:hAnsi="仿宋"/>
                <w:color w:val="000000"/>
              </w:rPr>
            </w:pPr>
            <w:r w:rsidRPr="00752B94">
              <w:rPr>
                <w:rFonts w:ascii="仿宋" w:eastAsia="仿宋" w:hAnsi="仿宋" w:hint="eastAsia"/>
                <w:color w:val="000000"/>
              </w:rPr>
              <w:t>4.76%</w:t>
            </w:r>
          </w:p>
        </w:tc>
        <w:tc>
          <w:tcPr>
            <w:tcW w:w="1651" w:type="dxa"/>
            <w:tcBorders>
              <w:top w:val="nil"/>
              <w:left w:val="nil"/>
              <w:bottom w:val="single" w:sz="4" w:space="0" w:color="auto"/>
              <w:right w:val="single" w:sz="4" w:space="0" w:color="auto"/>
            </w:tcBorders>
            <w:shd w:val="clear" w:color="auto" w:fill="auto"/>
            <w:noWrap/>
            <w:vAlign w:val="center"/>
            <w:hideMark/>
          </w:tcPr>
          <w:p w14:paraId="13D79F70" w14:textId="77777777" w:rsidR="00752B94" w:rsidRPr="00752B94" w:rsidRDefault="00752B94" w:rsidP="00752B94">
            <w:pPr>
              <w:jc w:val="right"/>
              <w:rPr>
                <w:rFonts w:ascii="仿宋" w:eastAsia="仿宋" w:hAnsi="仿宋"/>
                <w:color w:val="000000"/>
              </w:rPr>
            </w:pPr>
            <w:r w:rsidRPr="00752B94">
              <w:rPr>
                <w:rFonts w:ascii="仿宋" w:eastAsia="仿宋" w:hAnsi="仿宋" w:hint="eastAsia"/>
                <w:color w:val="000000"/>
              </w:rPr>
              <w:t>10.57%</w:t>
            </w:r>
          </w:p>
        </w:tc>
      </w:tr>
    </w:tbl>
    <w:p w14:paraId="351B34F9" w14:textId="77777777" w:rsidR="00575CD0" w:rsidRPr="00265078" w:rsidRDefault="00575CD0" w:rsidP="00265078"/>
    <w:p w14:paraId="0E6458DB" w14:textId="052A6C4C" w:rsidR="000A193A" w:rsidRPr="000A193A" w:rsidRDefault="000A193A" w:rsidP="000A193A">
      <w:pPr>
        <w:pStyle w:val="2"/>
        <w:spacing w:line="360" w:lineRule="auto"/>
        <w:rPr>
          <w:rFonts w:ascii="FangSong" w:eastAsia="FangSong" w:hAnsi="FangSong"/>
        </w:rPr>
      </w:pPr>
      <w:bookmarkStart w:id="39" w:name="_Toc24893541"/>
      <w:r w:rsidRPr="000A193A">
        <w:rPr>
          <w:rFonts w:ascii="FangSong" w:eastAsia="FangSong" w:hAnsi="FangSong" w:hint="eastAsia"/>
        </w:rPr>
        <w:t>11.2</w:t>
      </w:r>
      <w:r w:rsidR="001359E2">
        <w:rPr>
          <w:rFonts w:ascii="FangSong" w:eastAsia="FangSong" w:hAnsi="FangSong" w:hint="eastAsia"/>
        </w:rPr>
        <w:t>资金筹措</w:t>
      </w:r>
      <w:bookmarkEnd w:id="39"/>
    </w:p>
    <w:p w14:paraId="1986DD44" w14:textId="3B1C8BD7" w:rsidR="000A193A" w:rsidRDefault="001359E2" w:rsidP="003F54C5">
      <w:pPr>
        <w:ind w:firstLine="720"/>
        <w:rPr>
          <w:rFonts w:ascii="FangSong" w:eastAsia="FangSong" w:hAnsi="FangSong"/>
          <w:sz w:val="28"/>
          <w:szCs w:val="28"/>
        </w:rPr>
      </w:pPr>
      <w:r w:rsidRPr="001359E2">
        <w:rPr>
          <w:rFonts w:ascii="FangSong" w:eastAsia="FangSong" w:hAnsi="FangSong" w:hint="eastAsia"/>
          <w:sz w:val="28"/>
          <w:szCs w:val="28"/>
        </w:rPr>
        <w:t>项目投入资金主要来源于</w:t>
      </w:r>
      <w:r w:rsidR="00103F04">
        <w:rPr>
          <w:rFonts w:ascii="FangSong" w:eastAsia="FangSong" w:hAnsi="FangSong" w:hint="eastAsia"/>
          <w:sz w:val="28"/>
          <w:szCs w:val="28"/>
        </w:rPr>
        <w:t>四部分</w:t>
      </w:r>
      <w:r w:rsidRPr="001359E2">
        <w:rPr>
          <w:rFonts w:ascii="FangSong" w:eastAsia="FangSong" w:hAnsi="FangSong" w:hint="eastAsia"/>
          <w:sz w:val="28"/>
          <w:szCs w:val="28"/>
        </w:rPr>
        <w:t>，具体分配如下</w:t>
      </w:r>
      <w:r w:rsidR="00425C3A" w:rsidRPr="001359E2">
        <w:rPr>
          <w:rFonts w:ascii="FangSong" w:eastAsia="FangSong" w:hAnsi="FangSong" w:hint="eastAsia"/>
          <w:sz w:val="28"/>
          <w:szCs w:val="28"/>
        </w:rPr>
        <w:t>：</w:t>
      </w:r>
    </w:p>
    <w:tbl>
      <w:tblPr>
        <w:tblW w:w="8376" w:type="dxa"/>
        <w:tblLook w:val="04A0" w:firstRow="1" w:lastRow="0" w:firstColumn="1" w:lastColumn="0" w:noHBand="0" w:noVBand="1"/>
      </w:tblPr>
      <w:tblGrid>
        <w:gridCol w:w="4188"/>
        <w:gridCol w:w="4188"/>
      </w:tblGrid>
      <w:tr w:rsidR="00761FE6" w:rsidRPr="00761FE6" w14:paraId="56589BB6" w14:textId="77777777" w:rsidTr="00761FE6">
        <w:trPr>
          <w:trHeight w:val="505"/>
        </w:trPr>
        <w:tc>
          <w:tcPr>
            <w:tcW w:w="41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85A49" w14:textId="77777777" w:rsidR="00761FE6" w:rsidRPr="00761FE6" w:rsidRDefault="00761FE6" w:rsidP="00761FE6">
            <w:pPr>
              <w:jc w:val="center"/>
              <w:rPr>
                <w:rFonts w:ascii="微软雅黑" w:eastAsia="微软雅黑" w:hAnsi="微软雅黑"/>
                <w:b/>
                <w:bCs/>
                <w:sz w:val="22"/>
                <w:szCs w:val="22"/>
              </w:rPr>
            </w:pPr>
            <w:r w:rsidRPr="00761FE6">
              <w:rPr>
                <w:rFonts w:ascii="微软雅黑" w:eastAsia="微软雅黑" w:hAnsi="微软雅黑" w:hint="eastAsia"/>
                <w:b/>
                <w:bCs/>
                <w:sz w:val="22"/>
                <w:szCs w:val="22"/>
              </w:rPr>
              <w:t>资金来源</w:t>
            </w:r>
          </w:p>
        </w:tc>
        <w:tc>
          <w:tcPr>
            <w:tcW w:w="4188" w:type="dxa"/>
            <w:tcBorders>
              <w:top w:val="single" w:sz="4" w:space="0" w:color="auto"/>
              <w:left w:val="nil"/>
              <w:bottom w:val="single" w:sz="4" w:space="0" w:color="auto"/>
              <w:right w:val="single" w:sz="4" w:space="0" w:color="auto"/>
            </w:tcBorders>
            <w:shd w:val="clear" w:color="000000" w:fill="FFFFFF"/>
            <w:noWrap/>
            <w:vAlign w:val="center"/>
            <w:hideMark/>
          </w:tcPr>
          <w:p w14:paraId="739C82F3" w14:textId="77777777" w:rsidR="00761FE6" w:rsidRPr="00761FE6" w:rsidRDefault="00761FE6" w:rsidP="00761FE6">
            <w:pPr>
              <w:jc w:val="center"/>
              <w:rPr>
                <w:rFonts w:ascii="微软雅黑" w:eastAsia="微软雅黑" w:hAnsi="微软雅黑"/>
                <w:b/>
                <w:bCs/>
                <w:sz w:val="22"/>
                <w:szCs w:val="22"/>
              </w:rPr>
            </w:pPr>
            <w:r w:rsidRPr="00761FE6">
              <w:rPr>
                <w:rFonts w:ascii="微软雅黑" w:eastAsia="微软雅黑" w:hAnsi="微软雅黑" w:hint="eastAsia"/>
                <w:b/>
                <w:bCs/>
                <w:sz w:val="22"/>
                <w:szCs w:val="22"/>
              </w:rPr>
              <w:t>计划资金</w:t>
            </w:r>
          </w:p>
        </w:tc>
      </w:tr>
      <w:tr w:rsidR="00761FE6" w:rsidRPr="00761FE6" w14:paraId="7675B60F" w14:textId="77777777" w:rsidTr="00761FE6">
        <w:trPr>
          <w:trHeight w:val="505"/>
        </w:trPr>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14:paraId="205A83A4" w14:textId="77777777" w:rsidR="00761FE6" w:rsidRPr="00761FE6" w:rsidRDefault="00761FE6" w:rsidP="00761FE6">
            <w:pPr>
              <w:jc w:val="center"/>
              <w:rPr>
                <w:rFonts w:ascii="微软雅黑" w:eastAsia="微软雅黑" w:hAnsi="微软雅黑"/>
                <w:sz w:val="22"/>
                <w:szCs w:val="22"/>
              </w:rPr>
            </w:pPr>
            <w:r w:rsidRPr="00761FE6">
              <w:rPr>
                <w:rFonts w:ascii="微软雅黑" w:eastAsia="微软雅黑" w:hAnsi="微软雅黑" w:hint="eastAsia"/>
                <w:sz w:val="22"/>
                <w:szCs w:val="22"/>
              </w:rPr>
              <w:t>自有资金</w:t>
            </w:r>
          </w:p>
        </w:tc>
        <w:tc>
          <w:tcPr>
            <w:tcW w:w="4188" w:type="dxa"/>
            <w:tcBorders>
              <w:top w:val="nil"/>
              <w:left w:val="nil"/>
              <w:bottom w:val="single" w:sz="4" w:space="0" w:color="auto"/>
              <w:right w:val="single" w:sz="4" w:space="0" w:color="auto"/>
            </w:tcBorders>
            <w:shd w:val="clear" w:color="000000" w:fill="FFFFFF"/>
            <w:noWrap/>
            <w:vAlign w:val="center"/>
            <w:hideMark/>
          </w:tcPr>
          <w:p w14:paraId="4B78DAFB" w14:textId="77777777" w:rsidR="00761FE6" w:rsidRPr="00761FE6" w:rsidRDefault="00761FE6" w:rsidP="00761FE6">
            <w:pPr>
              <w:jc w:val="center"/>
              <w:rPr>
                <w:rFonts w:ascii="微软雅黑" w:eastAsia="微软雅黑" w:hAnsi="微软雅黑"/>
                <w:color w:val="000000"/>
                <w:sz w:val="22"/>
                <w:szCs w:val="22"/>
              </w:rPr>
            </w:pPr>
            <w:r w:rsidRPr="00761FE6">
              <w:rPr>
                <w:rFonts w:ascii="微软雅黑" w:eastAsia="微软雅黑" w:hAnsi="微软雅黑" w:hint="eastAsia"/>
                <w:color w:val="000000"/>
                <w:sz w:val="22"/>
                <w:szCs w:val="22"/>
              </w:rPr>
              <w:t xml:space="preserve"> 80,000.00 </w:t>
            </w:r>
          </w:p>
        </w:tc>
      </w:tr>
      <w:tr w:rsidR="00761FE6" w:rsidRPr="00761FE6" w14:paraId="6856BBFF" w14:textId="77777777" w:rsidTr="00761FE6">
        <w:trPr>
          <w:trHeight w:val="505"/>
        </w:trPr>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14:paraId="1CD6465A" w14:textId="77777777" w:rsidR="00761FE6" w:rsidRPr="00761FE6" w:rsidRDefault="00761FE6" w:rsidP="00761FE6">
            <w:pPr>
              <w:jc w:val="center"/>
              <w:rPr>
                <w:rFonts w:ascii="微软雅黑" w:eastAsia="微软雅黑" w:hAnsi="微软雅黑"/>
                <w:sz w:val="22"/>
                <w:szCs w:val="22"/>
              </w:rPr>
            </w:pPr>
            <w:r w:rsidRPr="00761FE6">
              <w:rPr>
                <w:rFonts w:ascii="微软雅黑" w:eastAsia="微软雅黑" w:hAnsi="微软雅黑" w:hint="eastAsia"/>
                <w:sz w:val="22"/>
                <w:szCs w:val="22"/>
              </w:rPr>
              <w:t>股东借款</w:t>
            </w:r>
          </w:p>
        </w:tc>
        <w:tc>
          <w:tcPr>
            <w:tcW w:w="4188" w:type="dxa"/>
            <w:tcBorders>
              <w:top w:val="nil"/>
              <w:left w:val="nil"/>
              <w:bottom w:val="single" w:sz="4" w:space="0" w:color="auto"/>
              <w:right w:val="single" w:sz="4" w:space="0" w:color="auto"/>
            </w:tcBorders>
            <w:shd w:val="clear" w:color="000000" w:fill="FFFFFF"/>
            <w:noWrap/>
            <w:vAlign w:val="center"/>
            <w:hideMark/>
          </w:tcPr>
          <w:p w14:paraId="6355A98F" w14:textId="77777777" w:rsidR="00761FE6" w:rsidRPr="00761FE6" w:rsidRDefault="00761FE6" w:rsidP="00761FE6">
            <w:pPr>
              <w:jc w:val="center"/>
              <w:rPr>
                <w:rFonts w:ascii="微软雅黑" w:eastAsia="微软雅黑" w:hAnsi="微软雅黑"/>
                <w:color w:val="000000"/>
                <w:sz w:val="22"/>
                <w:szCs w:val="22"/>
              </w:rPr>
            </w:pPr>
            <w:r w:rsidRPr="00761FE6">
              <w:rPr>
                <w:rFonts w:ascii="微软雅黑" w:eastAsia="微软雅黑" w:hAnsi="微软雅黑" w:hint="eastAsia"/>
                <w:color w:val="000000"/>
                <w:sz w:val="22"/>
                <w:szCs w:val="22"/>
              </w:rPr>
              <w:t xml:space="preserve"> 30,000.00 </w:t>
            </w:r>
          </w:p>
        </w:tc>
      </w:tr>
      <w:tr w:rsidR="00761FE6" w:rsidRPr="00761FE6" w14:paraId="16DE04B6" w14:textId="77777777" w:rsidTr="00761FE6">
        <w:trPr>
          <w:trHeight w:val="505"/>
        </w:trPr>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14:paraId="627718CD" w14:textId="77777777" w:rsidR="00761FE6" w:rsidRPr="00761FE6" w:rsidRDefault="00761FE6" w:rsidP="00761FE6">
            <w:pPr>
              <w:jc w:val="center"/>
              <w:rPr>
                <w:rFonts w:ascii="微软雅黑" w:eastAsia="微软雅黑" w:hAnsi="微软雅黑"/>
                <w:sz w:val="22"/>
                <w:szCs w:val="22"/>
              </w:rPr>
            </w:pPr>
            <w:r w:rsidRPr="00761FE6">
              <w:rPr>
                <w:rFonts w:ascii="微软雅黑" w:eastAsia="微软雅黑" w:hAnsi="微软雅黑" w:hint="eastAsia"/>
                <w:sz w:val="22"/>
                <w:szCs w:val="22"/>
              </w:rPr>
              <w:t>金融机构融资</w:t>
            </w:r>
          </w:p>
        </w:tc>
        <w:tc>
          <w:tcPr>
            <w:tcW w:w="4188" w:type="dxa"/>
            <w:tcBorders>
              <w:top w:val="nil"/>
              <w:left w:val="nil"/>
              <w:bottom w:val="single" w:sz="4" w:space="0" w:color="auto"/>
              <w:right w:val="single" w:sz="4" w:space="0" w:color="auto"/>
            </w:tcBorders>
            <w:shd w:val="clear" w:color="000000" w:fill="FFFFFF"/>
            <w:noWrap/>
            <w:vAlign w:val="center"/>
            <w:hideMark/>
          </w:tcPr>
          <w:p w14:paraId="0DFF5149" w14:textId="77777777" w:rsidR="00761FE6" w:rsidRPr="00761FE6" w:rsidRDefault="00761FE6" w:rsidP="00761FE6">
            <w:pPr>
              <w:jc w:val="center"/>
              <w:rPr>
                <w:rFonts w:ascii="微软雅黑" w:eastAsia="微软雅黑" w:hAnsi="微软雅黑"/>
                <w:color w:val="000000"/>
                <w:sz w:val="22"/>
                <w:szCs w:val="22"/>
              </w:rPr>
            </w:pPr>
            <w:r w:rsidRPr="00761FE6">
              <w:rPr>
                <w:rFonts w:ascii="微软雅黑" w:eastAsia="微软雅黑" w:hAnsi="微软雅黑" w:hint="eastAsia"/>
                <w:color w:val="000000"/>
                <w:sz w:val="22"/>
                <w:szCs w:val="22"/>
              </w:rPr>
              <w:t xml:space="preserve"> 240,000.00 </w:t>
            </w:r>
          </w:p>
        </w:tc>
      </w:tr>
      <w:tr w:rsidR="00761FE6" w:rsidRPr="00761FE6" w14:paraId="1F146754" w14:textId="77777777" w:rsidTr="00761FE6">
        <w:trPr>
          <w:trHeight w:val="505"/>
        </w:trPr>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14:paraId="5E676D84" w14:textId="77777777" w:rsidR="00761FE6" w:rsidRPr="00761FE6" w:rsidRDefault="00761FE6" w:rsidP="00761FE6">
            <w:pPr>
              <w:jc w:val="center"/>
              <w:rPr>
                <w:rFonts w:ascii="微软雅黑" w:eastAsia="微软雅黑" w:hAnsi="微软雅黑"/>
                <w:sz w:val="22"/>
                <w:szCs w:val="22"/>
              </w:rPr>
            </w:pPr>
            <w:r w:rsidRPr="00761FE6">
              <w:rPr>
                <w:rFonts w:ascii="微软雅黑" w:eastAsia="微软雅黑" w:hAnsi="微软雅黑" w:hint="eastAsia"/>
                <w:sz w:val="22"/>
                <w:szCs w:val="22"/>
              </w:rPr>
              <w:t>销售反投</w:t>
            </w:r>
          </w:p>
        </w:tc>
        <w:tc>
          <w:tcPr>
            <w:tcW w:w="4188" w:type="dxa"/>
            <w:tcBorders>
              <w:top w:val="nil"/>
              <w:left w:val="nil"/>
              <w:bottom w:val="single" w:sz="4" w:space="0" w:color="auto"/>
              <w:right w:val="single" w:sz="4" w:space="0" w:color="auto"/>
            </w:tcBorders>
            <w:shd w:val="clear" w:color="000000" w:fill="FFFFFF"/>
            <w:noWrap/>
            <w:vAlign w:val="center"/>
            <w:hideMark/>
          </w:tcPr>
          <w:p w14:paraId="40E15205" w14:textId="77777777" w:rsidR="00761FE6" w:rsidRPr="00761FE6" w:rsidRDefault="00761FE6" w:rsidP="00761FE6">
            <w:pPr>
              <w:jc w:val="center"/>
              <w:rPr>
                <w:rFonts w:ascii="微软雅黑" w:eastAsia="微软雅黑" w:hAnsi="微软雅黑"/>
                <w:color w:val="000000"/>
                <w:sz w:val="22"/>
                <w:szCs w:val="22"/>
              </w:rPr>
            </w:pPr>
            <w:r w:rsidRPr="00761FE6">
              <w:rPr>
                <w:rFonts w:ascii="微软雅黑" w:eastAsia="微软雅黑" w:hAnsi="微软雅黑" w:hint="eastAsia"/>
                <w:color w:val="000000"/>
                <w:sz w:val="22"/>
                <w:szCs w:val="22"/>
              </w:rPr>
              <w:t xml:space="preserve"> 146,985.00 </w:t>
            </w:r>
          </w:p>
        </w:tc>
      </w:tr>
      <w:tr w:rsidR="00761FE6" w:rsidRPr="00761FE6" w14:paraId="0481C7F9" w14:textId="77777777" w:rsidTr="00761FE6">
        <w:trPr>
          <w:trHeight w:val="505"/>
        </w:trPr>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14:paraId="6CCCCF5D" w14:textId="77777777" w:rsidR="00761FE6" w:rsidRPr="00761FE6" w:rsidRDefault="00761FE6" w:rsidP="00761FE6">
            <w:pPr>
              <w:jc w:val="center"/>
              <w:rPr>
                <w:rFonts w:ascii="微软雅黑" w:eastAsia="微软雅黑" w:hAnsi="微软雅黑"/>
                <w:sz w:val="22"/>
                <w:szCs w:val="22"/>
              </w:rPr>
            </w:pPr>
            <w:r w:rsidRPr="00761FE6">
              <w:rPr>
                <w:rFonts w:ascii="微软雅黑" w:eastAsia="微软雅黑" w:hAnsi="微软雅黑" w:hint="eastAsia"/>
                <w:sz w:val="22"/>
                <w:szCs w:val="22"/>
              </w:rPr>
              <w:t>合计</w:t>
            </w:r>
          </w:p>
        </w:tc>
        <w:tc>
          <w:tcPr>
            <w:tcW w:w="4188" w:type="dxa"/>
            <w:tcBorders>
              <w:top w:val="nil"/>
              <w:left w:val="nil"/>
              <w:bottom w:val="single" w:sz="4" w:space="0" w:color="auto"/>
              <w:right w:val="single" w:sz="4" w:space="0" w:color="auto"/>
            </w:tcBorders>
            <w:shd w:val="clear" w:color="000000" w:fill="FFFFFF"/>
            <w:noWrap/>
            <w:vAlign w:val="center"/>
            <w:hideMark/>
          </w:tcPr>
          <w:p w14:paraId="083C186D" w14:textId="77777777" w:rsidR="00761FE6" w:rsidRPr="00761FE6" w:rsidRDefault="00761FE6" w:rsidP="00761FE6">
            <w:pPr>
              <w:jc w:val="center"/>
              <w:rPr>
                <w:rFonts w:ascii="微软雅黑" w:eastAsia="微软雅黑" w:hAnsi="微软雅黑"/>
                <w:color w:val="000000"/>
                <w:sz w:val="22"/>
                <w:szCs w:val="22"/>
              </w:rPr>
            </w:pPr>
            <w:r w:rsidRPr="00761FE6">
              <w:rPr>
                <w:rFonts w:ascii="微软雅黑" w:eastAsia="微软雅黑" w:hAnsi="微软雅黑" w:hint="eastAsia"/>
                <w:color w:val="000000"/>
                <w:sz w:val="22"/>
                <w:szCs w:val="22"/>
              </w:rPr>
              <w:t xml:space="preserve"> 496,985.00 </w:t>
            </w:r>
          </w:p>
        </w:tc>
      </w:tr>
    </w:tbl>
    <w:p w14:paraId="35439028" w14:textId="77777777" w:rsidR="00425C3A" w:rsidRPr="000A193A" w:rsidRDefault="00425C3A" w:rsidP="00425C3A"/>
    <w:p w14:paraId="0E8CF1A6" w14:textId="69976572" w:rsidR="00290CE5" w:rsidRDefault="00B63664" w:rsidP="002A2DB5">
      <w:pPr>
        <w:pStyle w:val="1"/>
        <w:spacing w:line="360" w:lineRule="auto"/>
        <w:rPr>
          <w:rFonts w:ascii="FangSong" w:eastAsia="FangSong" w:hAnsi="FangSong"/>
        </w:rPr>
      </w:pPr>
      <w:bookmarkStart w:id="40" w:name="_Toc24893542"/>
      <w:r w:rsidRPr="002A2DB5">
        <w:rPr>
          <w:rFonts w:ascii="FangSong" w:eastAsia="FangSong" w:hAnsi="FangSong" w:hint="eastAsia"/>
        </w:rPr>
        <w:lastRenderedPageBreak/>
        <w:t>十二、</w:t>
      </w:r>
      <w:r w:rsidR="00290CE5" w:rsidRPr="002A2DB5">
        <w:rPr>
          <w:rFonts w:ascii="FangSong" w:eastAsia="FangSong" w:hAnsi="FangSong" w:hint="eastAsia"/>
        </w:rPr>
        <w:t>财务分析</w:t>
      </w:r>
      <w:bookmarkEnd w:id="40"/>
    </w:p>
    <w:p w14:paraId="4EB56CA7" w14:textId="58E9DCA1" w:rsidR="00130B04" w:rsidRDefault="00130B04" w:rsidP="00130B04">
      <w:pPr>
        <w:pStyle w:val="2"/>
        <w:spacing w:line="360" w:lineRule="auto"/>
        <w:rPr>
          <w:rFonts w:ascii="FangSong" w:eastAsia="FangSong" w:hAnsi="FangSong"/>
        </w:rPr>
      </w:pPr>
      <w:bookmarkStart w:id="41" w:name="_Toc24893543"/>
      <w:r w:rsidRPr="002A2DB5">
        <w:rPr>
          <w:rFonts w:ascii="FangSong" w:eastAsia="FangSong" w:hAnsi="FangSong" w:hint="eastAsia"/>
        </w:rPr>
        <w:t>1</w:t>
      </w:r>
      <w:r w:rsidR="000A193A">
        <w:rPr>
          <w:rFonts w:ascii="FangSong" w:eastAsia="FangSong" w:hAnsi="FangSong" w:hint="eastAsia"/>
        </w:rPr>
        <w:t>2</w:t>
      </w:r>
      <w:r w:rsidRPr="002A2DB5">
        <w:rPr>
          <w:rFonts w:ascii="FangSong" w:eastAsia="FangSong" w:hAnsi="FangSong" w:hint="eastAsia"/>
        </w:rPr>
        <w:t>.</w:t>
      </w:r>
      <w:r>
        <w:rPr>
          <w:rFonts w:ascii="FangSong" w:eastAsia="FangSong" w:hAnsi="FangSong" w:hint="eastAsia"/>
        </w:rPr>
        <w:t>1定价分析</w:t>
      </w:r>
      <w:bookmarkEnd w:id="41"/>
    </w:p>
    <w:p w14:paraId="771A0AF1" w14:textId="7F00D26E" w:rsidR="00534AEE" w:rsidRPr="00265078" w:rsidRDefault="00534AEE" w:rsidP="00534AEE">
      <w:pPr>
        <w:autoSpaceDE w:val="0"/>
        <w:autoSpaceDN w:val="0"/>
        <w:rPr>
          <w:rFonts w:ascii="FangSong" w:eastAsia="FangSong" w:hAnsi="FangSong" w:cs="宋体"/>
          <w:sz w:val="28"/>
          <w:szCs w:val="28"/>
        </w:rPr>
      </w:pPr>
      <w:r>
        <w:rPr>
          <w:rFonts w:ascii="FangSong" w:eastAsia="FangSong" w:hAnsi="FangSong" w:cs="宋体" w:hint="eastAsia"/>
          <w:sz w:val="28"/>
          <w:szCs w:val="28"/>
          <w:lang w:val="zh-CN"/>
        </w:rPr>
        <w:t xml:space="preserve">     </w:t>
      </w:r>
      <w:r w:rsidRPr="00265078">
        <w:rPr>
          <w:rFonts w:ascii="FangSong" w:eastAsia="FangSong" w:hAnsi="FangSong" w:cs="宋体" w:hint="eastAsia"/>
          <w:sz w:val="28"/>
          <w:szCs w:val="28"/>
          <w:lang w:val="zh-CN"/>
        </w:rPr>
        <w:t>经房管局数据显示，本案所处八里台镇片区，其中重点项目情况为：</w:t>
      </w:r>
    </w:p>
    <w:p w14:paraId="3D22B3C4" w14:textId="77777777" w:rsidR="00534AEE" w:rsidRPr="00265078" w:rsidRDefault="00534AEE" w:rsidP="00534AEE">
      <w:pPr>
        <w:autoSpaceDE w:val="0"/>
        <w:autoSpaceDN w:val="0"/>
        <w:rPr>
          <w:rFonts w:ascii="FangSong" w:eastAsia="FangSong" w:hAnsi="FangSong" w:cs="宋体"/>
          <w:sz w:val="28"/>
          <w:szCs w:val="28"/>
        </w:rPr>
      </w:pPr>
      <w:r w:rsidRPr="00265078">
        <w:rPr>
          <w:rFonts w:ascii="FangSong" w:eastAsia="FangSong" w:hAnsi="FangSong" w:cs="宋体" w:hint="eastAsia"/>
          <w:sz w:val="28"/>
          <w:szCs w:val="28"/>
          <w:lang w:val="zh-CN"/>
        </w:rPr>
        <w:t>①南园项目（汇秀庭苑），高层产品均价9030元/平方米，别墅产品15400元/平方米，去化率82%。</w:t>
      </w:r>
    </w:p>
    <w:p w14:paraId="7757358D" w14:textId="77777777" w:rsidR="00534AEE" w:rsidRPr="00265078" w:rsidRDefault="00534AEE" w:rsidP="00534AEE">
      <w:pPr>
        <w:autoSpaceDE w:val="0"/>
        <w:autoSpaceDN w:val="0"/>
        <w:rPr>
          <w:rFonts w:ascii="FangSong" w:eastAsia="FangSong" w:hAnsi="FangSong" w:cs="宋体"/>
          <w:sz w:val="28"/>
          <w:szCs w:val="28"/>
        </w:rPr>
      </w:pPr>
      <w:r w:rsidRPr="00265078">
        <w:rPr>
          <w:rFonts w:ascii="FangSong" w:eastAsia="FangSong" w:hAnsi="FangSong" w:cs="宋体" w:hint="eastAsia"/>
          <w:sz w:val="28"/>
          <w:szCs w:val="28"/>
          <w:lang w:val="zh-CN"/>
        </w:rPr>
        <w:t>②星耀五洲项目（澜海庄园），高层产品均价9575元/平方米，别墅产品均价15880元/平方米，去化率75%。</w:t>
      </w:r>
    </w:p>
    <w:p w14:paraId="67AE49C5" w14:textId="77777777" w:rsidR="00534AEE" w:rsidRPr="00265078" w:rsidRDefault="00534AEE" w:rsidP="00534AEE">
      <w:pPr>
        <w:autoSpaceDE w:val="0"/>
        <w:autoSpaceDN w:val="0"/>
        <w:rPr>
          <w:rFonts w:ascii="FangSong" w:eastAsia="FangSong" w:hAnsi="FangSong" w:cs="宋体"/>
          <w:sz w:val="28"/>
          <w:szCs w:val="28"/>
        </w:rPr>
      </w:pPr>
      <w:r w:rsidRPr="00265078">
        <w:rPr>
          <w:rFonts w:ascii="FangSong" w:eastAsia="FangSong" w:hAnsi="FangSong" w:cs="宋体" w:hint="eastAsia"/>
          <w:sz w:val="28"/>
          <w:szCs w:val="28"/>
          <w:lang w:val="zh-CN"/>
        </w:rPr>
        <w:t>③大唐盛世项目（唐晟雅苑），高层产品均价9500元/平方米，洋房产品均价12900元/平方米，去化率5.8%。</w:t>
      </w:r>
    </w:p>
    <w:p w14:paraId="24510BF8" w14:textId="77777777" w:rsidR="00534AEE" w:rsidRPr="00265078" w:rsidRDefault="00534AEE" w:rsidP="00534AEE">
      <w:pPr>
        <w:autoSpaceDE w:val="0"/>
        <w:autoSpaceDN w:val="0"/>
        <w:rPr>
          <w:rFonts w:ascii="FangSong" w:eastAsia="FangSong" w:hAnsi="FangSong" w:cs="宋体"/>
          <w:sz w:val="28"/>
          <w:szCs w:val="28"/>
        </w:rPr>
      </w:pPr>
      <w:r w:rsidRPr="00265078">
        <w:rPr>
          <w:rFonts w:ascii="FangSong" w:eastAsia="FangSong" w:hAnsi="FangSong" w:cs="宋体" w:hint="eastAsia"/>
          <w:sz w:val="28"/>
          <w:szCs w:val="28"/>
          <w:lang w:val="zh-CN"/>
        </w:rPr>
        <w:t>④万科公园里项目（朗逸花园），洋房产品均价11200到15000元/平方米，去化率26%。</w:t>
      </w:r>
    </w:p>
    <w:p w14:paraId="5444F72B" w14:textId="77777777" w:rsidR="00534AEE" w:rsidRPr="00265078" w:rsidRDefault="00534AEE" w:rsidP="00534AEE">
      <w:pPr>
        <w:autoSpaceDE w:val="0"/>
        <w:autoSpaceDN w:val="0"/>
        <w:rPr>
          <w:rFonts w:ascii="FangSong" w:eastAsia="FangSong" w:hAnsi="FangSong" w:cs="宋体"/>
          <w:sz w:val="28"/>
          <w:szCs w:val="28"/>
        </w:rPr>
      </w:pPr>
      <w:r w:rsidRPr="00265078">
        <w:rPr>
          <w:rFonts w:ascii="FangSong" w:eastAsia="FangSong" w:hAnsi="FangSong" w:cs="宋体" w:hint="eastAsia"/>
          <w:sz w:val="28"/>
          <w:szCs w:val="28"/>
          <w:lang w:val="zh-CN"/>
        </w:rPr>
        <w:t>⑤京基嶺域项目（揽景轩），别墅产品均价13000到15000元/平方米，去化率79%。</w:t>
      </w:r>
    </w:p>
    <w:p w14:paraId="15F4A6A8" w14:textId="5D95C7E3" w:rsidR="00130B04" w:rsidRDefault="00534AEE" w:rsidP="00534AEE">
      <w:pPr>
        <w:autoSpaceDE w:val="0"/>
        <w:autoSpaceDN w:val="0"/>
        <w:ind w:firstLine="480"/>
        <w:rPr>
          <w:rFonts w:ascii="FangSong" w:eastAsia="FangSong" w:hAnsi="FangSong" w:cs="宋体"/>
          <w:sz w:val="28"/>
          <w:szCs w:val="28"/>
          <w:lang w:val="zh-CN"/>
        </w:rPr>
      </w:pPr>
      <w:r w:rsidRPr="00265078">
        <w:rPr>
          <w:rFonts w:ascii="FangSong" w:eastAsia="FangSong" w:hAnsi="FangSong" w:cs="宋体" w:hint="eastAsia"/>
          <w:sz w:val="28"/>
          <w:szCs w:val="28"/>
          <w:lang w:val="zh-CN"/>
        </w:rPr>
        <w:t>通过调研，了解到区域内 整体住宅成交均价约9000元/平方米，别墅产品成交均价约15000元/平方米。</w:t>
      </w:r>
    </w:p>
    <w:p w14:paraId="4E021C08" w14:textId="7768EB6F" w:rsidR="009E079A" w:rsidRPr="00265078" w:rsidRDefault="009E079A" w:rsidP="00534AEE">
      <w:pPr>
        <w:autoSpaceDE w:val="0"/>
        <w:autoSpaceDN w:val="0"/>
        <w:ind w:firstLine="480"/>
        <w:rPr>
          <w:rFonts w:ascii="FangSong" w:eastAsia="FangSong" w:hAnsi="FangSong" w:cs="宋体"/>
          <w:sz w:val="28"/>
          <w:szCs w:val="28"/>
          <w:lang w:val="zh-CN"/>
        </w:rPr>
      </w:pPr>
      <w:r>
        <w:rPr>
          <w:rFonts w:ascii="FangSong" w:eastAsia="FangSong" w:hAnsi="FangSong" w:cs="宋体" w:hint="eastAsia"/>
          <w:sz w:val="28"/>
          <w:szCs w:val="28"/>
          <w:lang w:val="zh-CN"/>
        </w:rPr>
        <w:t>公司拟将商业毛坯定价为</w:t>
      </w:r>
      <w:r w:rsidRPr="00761FE6">
        <w:rPr>
          <w:rFonts w:ascii="FangSong" w:eastAsia="FangSong" w:hAnsi="FangSong" w:cs="宋体" w:hint="eastAsia"/>
          <w:sz w:val="28"/>
          <w:szCs w:val="28"/>
          <w:lang w:val="zh-CN"/>
        </w:rPr>
        <w:t>15,000.00</w:t>
      </w:r>
      <w:r w:rsidRPr="009E079A">
        <w:rPr>
          <w:rFonts w:ascii="FangSong" w:eastAsia="FangSong" w:hAnsi="FangSong" w:cs="宋体" w:hint="eastAsia"/>
          <w:sz w:val="28"/>
          <w:szCs w:val="28"/>
          <w:lang w:val="zh-CN"/>
        </w:rPr>
        <w:t>元/㎡</w:t>
      </w:r>
      <w:r>
        <w:rPr>
          <w:rFonts w:ascii="FangSong" w:eastAsia="FangSong" w:hAnsi="FangSong" w:cs="宋体" w:hint="eastAsia"/>
          <w:sz w:val="28"/>
          <w:szCs w:val="28"/>
          <w:lang w:val="zh-CN"/>
        </w:rPr>
        <w:t>、高层住宅</w:t>
      </w:r>
      <w:r w:rsidRPr="00761FE6">
        <w:rPr>
          <w:rFonts w:ascii="FangSong" w:eastAsia="FangSong" w:hAnsi="FangSong" w:cs="宋体" w:hint="eastAsia"/>
          <w:sz w:val="28"/>
          <w:szCs w:val="28"/>
          <w:lang w:val="zh-CN"/>
        </w:rPr>
        <w:t>14,000.00</w:t>
      </w:r>
      <w:r w:rsidRPr="009E079A">
        <w:rPr>
          <w:rFonts w:ascii="FangSong" w:eastAsia="FangSong" w:hAnsi="FangSong" w:cs="宋体" w:hint="eastAsia"/>
          <w:sz w:val="28"/>
          <w:szCs w:val="28"/>
          <w:lang w:val="zh-CN"/>
        </w:rPr>
        <w:t>元/㎡，</w:t>
      </w:r>
      <w:r w:rsidRPr="00761FE6">
        <w:rPr>
          <w:rFonts w:ascii="FangSong" w:eastAsia="FangSong" w:hAnsi="FangSong" w:cs="宋体" w:hint="eastAsia"/>
          <w:sz w:val="28"/>
          <w:szCs w:val="28"/>
          <w:lang w:val="zh-CN"/>
        </w:rPr>
        <w:t>颐养院18,000.00</w:t>
      </w:r>
      <w:r w:rsidRPr="009E079A">
        <w:rPr>
          <w:rFonts w:ascii="FangSong" w:eastAsia="FangSong" w:hAnsi="FangSong" w:cs="宋体" w:hint="eastAsia"/>
          <w:sz w:val="28"/>
          <w:szCs w:val="28"/>
          <w:lang w:val="zh-CN"/>
        </w:rPr>
        <w:t>元/㎡,二期老年公寓</w:t>
      </w:r>
      <w:r w:rsidRPr="00761FE6">
        <w:rPr>
          <w:rFonts w:ascii="FangSong" w:eastAsia="FangSong" w:hAnsi="FangSong" w:cs="宋体" w:hint="eastAsia"/>
          <w:sz w:val="28"/>
          <w:szCs w:val="28"/>
          <w:lang w:val="zh-CN"/>
        </w:rPr>
        <w:t>13,000.00</w:t>
      </w:r>
      <w:r w:rsidRPr="009E079A">
        <w:rPr>
          <w:rFonts w:ascii="FangSong" w:eastAsia="FangSong" w:hAnsi="FangSong" w:cs="宋体" w:hint="eastAsia"/>
          <w:sz w:val="28"/>
          <w:szCs w:val="28"/>
          <w:lang w:val="zh-CN"/>
        </w:rPr>
        <w:t>元/㎡，三期老年公寓</w:t>
      </w:r>
      <w:r w:rsidRPr="00761FE6">
        <w:rPr>
          <w:rFonts w:ascii="FangSong" w:eastAsia="FangSong" w:hAnsi="FangSong" w:cs="宋体" w:hint="eastAsia"/>
          <w:sz w:val="28"/>
          <w:szCs w:val="28"/>
          <w:lang w:val="zh-CN"/>
        </w:rPr>
        <w:t>15,000.00</w:t>
      </w:r>
      <w:r w:rsidRPr="009E079A">
        <w:rPr>
          <w:rFonts w:ascii="FangSong" w:eastAsia="FangSong" w:hAnsi="FangSong" w:cs="宋体" w:hint="eastAsia"/>
          <w:sz w:val="28"/>
          <w:szCs w:val="28"/>
          <w:lang w:val="zh-CN"/>
        </w:rPr>
        <w:t>元/㎡，属于合理保守区间。</w:t>
      </w:r>
    </w:p>
    <w:p w14:paraId="0013D2D2" w14:textId="459C51B8" w:rsidR="001B7AD8" w:rsidRDefault="001B7AD8" w:rsidP="001B7AD8">
      <w:pPr>
        <w:pStyle w:val="2"/>
        <w:spacing w:line="360" w:lineRule="auto"/>
        <w:rPr>
          <w:rFonts w:ascii="FangSong" w:eastAsia="FangSong" w:hAnsi="FangSong"/>
        </w:rPr>
      </w:pPr>
      <w:bookmarkStart w:id="42" w:name="_Toc24893544"/>
      <w:r w:rsidRPr="002A2DB5">
        <w:rPr>
          <w:rFonts w:ascii="FangSong" w:eastAsia="FangSong" w:hAnsi="FangSong" w:hint="eastAsia"/>
        </w:rPr>
        <w:lastRenderedPageBreak/>
        <w:t>1</w:t>
      </w:r>
      <w:r>
        <w:rPr>
          <w:rFonts w:ascii="FangSong" w:eastAsia="FangSong" w:hAnsi="FangSong" w:hint="eastAsia"/>
        </w:rPr>
        <w:t>2</w:t>
      </w:r>
      <w:r w:rsidRPr="002A2DB5">
        <w:rPr>
          <w:rFonts w:ascii="FangSong" w:eastAsia="FangSong" w:hAnsi="FangSong" w:hint="eastAsia"/>
        </w:rPr>
        <w:t>.</w:t>
      </w:r>
      <w:r>
        <w:rPr>
          <w:rFonts w:ascii="FangSong" w:eastAsia="FangSong" w:hAnsi="FangSong" w:hint="eastAsia"/>
        </w:rPr>
        <w:t>2</w:t>
      </w:r>
      <w:r w:rsidR="003F54C5">
        <w:rPr>
          <w:rFonts w:ascii="FangSong" w:eastAsia="FangSong" w:hAnsi="FangSong" w:hint="eastAsia"/>
        </w:rPr>
        <w:t>销售</w:t>
      </w:r>
      <w:r>
        <w:rPr>
          <w:rFonts w:ascii="FangSong" w:eastAsia="FangSong" w:hAnsi="FangSong" w:hint="eastAsia"/>
        </w:rPr>
        <w:t>分析</w:t>
      </w:r>
      <w:bookmarkEnd w:id="42"/>
    </w:p>
    <w:p w14:paraId="43B367DF" w14:textId="3CFB6AA0" w:rsidR="009B7F1C" w:rsidRPr="009B7F1C" w:rsidRDefault="009B7F1C" w:rsidP="009B7F1C">
      <w:pPr>
        <w:spacing w:line="360" w:lineRule="auto"/>
        <w:rPr>
          <w:rFonts w:ascii="FangSong" w:eastAsia="FangSong" w:hAnsi="FangSong"/>
          <w:sz w:val="28"/>
          <w:szCs w:val="28"/>
        </w:rPr>
      </w:pPr>
      <w:r>
        <w:rPr>
          <w:rFonts w:hint="eastAsia"/>
        </w:rPr>
        <w:t xml:space="preserve">      </w:t>
      </w:r>
      <w:r w:rsidRPr="009B7F1C">
        <w:rPr>
          <w:rFonts w:ascii="FangSong" w:eastAsia="FangSong" w:hAnsi="FangSong" w:hint="eastAsia"/>
          <w:sz w:val="28"/>
          <w:szCs w:val="28"/>
        </w:rPr>
        <w:t>项目</w:t>
      </w:r>
      <w:r w:rsidR="00265ACC">
        <w:rPr>
          <w:rFonts w:ascii="FangSong" w:eastAsia="FangSong" w:hAnsi="FangSong" w:hint="eastAsia"/>
          <w:sz w:val="28"/>
          <w:szCs w:val="28"/>
        </w:rPr>
        <w:t>分三期开发建设销售，</w:t>
      </w:r>
      <w:r>
        <w:rPr>
          <w:rFonts w:ascii="FangSong" w:eastAsia="FangSong" w:hAnsi="FangSong" w:hint="eastAsia"/>
          <w:sz w:val="28"/>
          <w:szCs w:val="28"/>
        </w:rPr>
        <w:t>可直接销售房产</w:t>
      </w:r>
      <w:r w:rsidR="00265ACC">
        <w:rPr>
          <w:rFonts w:ascii="FangSong" w:eastAsia="FangSong" w:hAnsi="FangSong" w:hint="eastAsia"/>
          <w:sz w:val="28"/>
          <w:szCs w:val="28"/>
        </w:rPr>
        <w:t>业态包含商业、高层酒店、高端养老院、老年公寓、医院，具体销售收入及销售进度如下：</w:t>
      </w:r>
    </w:p>
    <w:tbl>
      <w:tblPr>
        <w:tblW w:w="8888" w:type="dxa"/>
        <w:tblLook w:val="04A0" w:firstRow="1" w:lastRow="0" w:firstColumn="1" w:lastColumn="0" w:noHBand="0" w:noVBand="1"/>
      </w:tblPr>
      <w:tblGrid>
        <w:gridCol w:w="1655"/>
        <w:gridCol w:w="2854"/>
        <w:gridCol w:w="2113"/>
        <w:gridCol w:w="2266"/>
      </w:tblGrid>
      <w:tr w:rsidR="003F54C5" w14:paraId="67ECD310" w14:textId="77777777" w:rsidTr="00265ACC">
        <w:trPr>
          <w:trHeight w:val="401"/>
        </w:trPr>
        <w:tc>
          <w:tcPr>
            <w:tcW w:w="1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941DB"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期数</w:t>
            </w:r>
          </w:p>
        </w:tc>
        <w:tc>
          <w:tcPr>
            <w:tcW w:w="2854" w:type="dxa"/>
            <w:tcBorders>
              <w:top w:val="single" w:sz="4" w:space="0" w:color="auto"/>
              <w:left w:val="nil"/>
              <w:bottom w:val="single" w:sz="4" w:space="0" w:color="auto"/>
              <w:right w:val="single" w:sz="4" w:space="0" w:color="auto"/>
            </w:tcBorders>
            <w:shd w:val="clear" w:color="auto" w:fill="auto"/>
            <w:noWrap/>
            <w:vAlign w:val="bottom"/>
            <w:hideMark/>
          </w:tcPr>
          <w:p w14:paraId="20B029E7"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开盘日期</w:t>
            </w:r>
          </w:p>
        </w:tc>
        <w:tc>
          <w:tcPr>
            <w:tcW w:w="2113" w:type="dxa"/>
            <w:tcBorders>
              <w:top w:val="single" w:sz="4" w:space="0" w:color="auto"/>
              <w:left w:val="nil"/>
              <w:bottom w:val="single" w:sz="4" w:space="0" w:color="auto"/>
              <w:right w:val="single" w:sz="4" w:space="0" w:color="auto"/>
            </w:tcBorders>
            <w:shd w:val="clear" w:color="auto" w:fill="auto"/>
            <w:noWrap/>
            <w:vAlign w:val="bottom"/>
            <w:hideMark/>
          </w:tcPr>
          <w:p w14:paraId="2144575D"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销售周期</w:t>
            </w:r>
          </w:p>
        </w:tc>
        <w:tc>
          <w:tcPr>
            <w:tcW w:w="2266" w:type="dxa"/>
            <w:tcBorders>
              <w:top w:val="single" w:sz="4" w:space="0" w:color="auto"/>
              <w:left w:val="nil"/>
              <w:bottom w:val="single" w:sz="4" w:space="0" w:color="auto"/>
              <w:right w:val="single" w:sz="4" w:space="0" w:color="auto"/>
            </w:tcBorders>
            <w:shd w:val="clear" w:color="auto" w:fill="auto"/>
            <w:noWrap/>
            <w:vAlign w:val="bottom"/>
            <w:hideMark/>
          </w:tcPr>
          <w:p w14:paraId="55D85975"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销售时长</w:t>
            </w:r>
          </w:p>
        </w:tc>
      </w:tr>
      <w:tr w:rsidR="003F54C5" w14:paraId="03C304DC" w14:textId="77777777" w:rsidTr="00265ACC">
        <w:trPr>
          <w:trHeight w:val="267"/>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036A0CCB"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一期</w:t>
            </w:r>
          </w:p>
        </w:tc>
        <w:tc>
          <w:tcPr>
            <w:tcW w:w="2854" w:type="dxa"/>
            <w:tcBorders>
              <w:top w:val="nil"/>
              <w:left w:val="nil"/>
              <w:bottom w:val="single" w:sz="4" w:space="0" w:color="auto"/>
              <w:right w:val="single" w:sz="4" w:space="0" w:color="auto"/>
            </w:tcBorders>
            <w:shd w:val="clear" w:color="auto" w:fill="auto"/>
            <w:noWrap/>
            <w:vAlign w:val="center"/>
            <w:hideMark/>
          </w:tcPr>
          <w:p w14:paraId="16798484"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2020年10月</w:t>
            </w:r>
          </w:p>
        </w:tc>
        <w:tc>
          <w:tcPr>
            <w:tcW w:w="2113" w:type="dxa"/>
            <w:tcBorders>
              <w:top w:val="nil"/>
              <w:left w:val="nil"/>
              <w:bottom w:val="single" w:sz="4" w:space="0" w:color="auto"/>
              <w:right w:val="single" w:sz="4" w:space="0" w:color="auto"/>
            </w:tcBorders>
            <w:shd w:val="clear" w:color="auto" w:fill="auto"/>
            <w:noWrap/>
            <w:vAlign w:val="bottom"/>
            <w:hideMark/>
          </w:tcPr>
          <w:p w14:paraId="4EDD7B58"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2020.10-2021.9</w:t>
            </w:r>
          </w:p>
        </w:tc>
        <w:tc>
          <w:tcPr>
            <w:tcW w:w="2266" w:type="dxa"/>
            <w:tcBorders>
              <w:top w:val="nil"/>
              <w:left w:val="nil"/>
              <w:bottom w:val="single" w:sz="4" w:space="0" w:color="auto"/>
              <w:right w:val="single" w:sz="4" w:space="0" w:color="auto"/>
            </w:tcBorders>
            <w:shd w:val="clear" w:color="auto" w:fill="auto"/>
            <w:noWrap/>
            <w:vAlign w:val="bottom"/>
            <w:hideMark/>
          </w:tcPr>
          <w:p w14:paraId="21D1AC12"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12个月</w:t>
            </w:r>
          </w:p>
        </w:tc>
      </w:tr>
      <w:tr w:rsidR="003F54C5" w14:paraId="77C67DFB" w14:textId="77777777" w:rsidTr="00265ACC">
        <w:trPr>
          <w:trHeight w:val="267"/>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6B9E28FC"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二期</w:t>
            </w:r>
          </w:p>
        </w:tc>
        <w:tc>
          <w:tcPr>
            <w:tcW w:w="2854" w:type="dxa"/>
            <w:tcBorders>
              <w:top w:val="nil"/>
              <w:left w:val="nil"/>
              <w:bottom w:val="single" w:sz="4" w:space="0" w:color="auto"/>
              <w:right w:val="single" w:sz="4" w:space="0" w:color="auto"/>
            </w:tcBorders>
            <w:shd w:val="clear" w:color="auto" w:fill="auto"/>
            <w:noWrap/>
            <w:vAlign w:val="center"/>
            <w:hideMark/>
          </w:tcPr>
          <w:p w14:paraId="2D974D2D"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2021年7月</w:t>
            </w:r>
          </w:p>
        </w:tc>
        <w:tc>
          <w:tcPr>
            <w:tcW w:w="2113" w:type="dxa"/>
            <w:tcBorders>
              <w:top w:val="nil"/>
              <w:left w:val="nil"/>
              <w:bottom w:val="single" w:sz="4" w:space="0" w:color="auto"/>
              <w:right w:val="single" w:sz="4" w:space="0" w:color="auto"/>
            </w:tcBorders>
            <w:shd w:val="clear" w:color="auto" w:fill="auto"/>
            <w:noWrap/>
            <w:vAlign w:val="bottom"/>
            <w:hideMark/>
          </w:tcPr>
          <w:p w14:paraId="2078741E"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2021.7-2022.3</w:t>
            </w:r>
          </w:p>
        </w:tc>
        <w:tc>
          <w:tcPr>
            <w:tcW w:w="2266" w:type="dxa"/>
            <w:tcBorders>
              <w:top w:val="nil"/>
              <w:left w:val="nil"/>
              <w:bottom w:val="single" w:sz="4" w:space="0" w:color="auto"/>
              <w:right w:val="single" w:sz="4" w:space="0" w:color="auto"/>
            </w:tcBorders>
            <w:shd w:val="clear" w:color="auto" w:fill="auto"/>
            <w:noWrap/>
            <w:vAlign w:val="bottom"/>
            <w:hideMark/>
          </w:tcPr>
          <w:p w14:paraId="480B624A"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9个月</w:t>
            </w:r>
          </w:p>
        </w:tc>
      </w:tr>
      <w:tr w:rsidR="003F54C5" w14:paraId="3CDFD02E" w14:textId="77777777" w:rsidTr="00265ACC">
        <w:trPr>
          <w:trHeight w:val="267"/>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14DC02DE"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三期</w:t>
            </w:r>
          </w:p>
        </w:tc>
        <w:tc>
          <w:tcPr>
            <w:tcW w:w="2854" w:type="dxa"/>
            <w:tcBorders>
              <w:top w:val="nil"/>
              <w:left w:val="nil"/>
              <w:bottom w:val="single" w:sz="4" w:space="0" w:color="auto"/>
              <w:right w:val="single" w:sz="4" w:space="0" w:color="auto"/>
            </w:tcBorders>
            <w:shd w:val="clear" w:color="auto" w:fill="auto"/>
            <w:noWrap/>
            <w:vAlign w:val="center"/>
            <w:hideMark/>
          </w:tcPr>
          <w:p w14:paraId="5766BBB7" w14:textId="77777777" w:rsidR="003F54C5" w:rsidRDefault="003F54C5">
            <w:pPr>
              <w:jc w:val="center"/>
              <w:rPr>
                <w:rFonts w:ascii="仿宋" w:eastAsia="仿宋" w:hAnsi="仿宋"/>
                <w:color w:val="000000"/>
                <w:sz w:val="22"/>
                <w:szCs w:val="22"/>
              </w:rPr>
            </w:pPr>
            <w:r>
              <w:rPr>
                <w:rFonts w:ascii="仿宋" w:eastAsia="仿宋" w:hAnsi="仿宋" w:hint="eastAsia"/>
                <w:color w:val="000000"/>
                <w:sz w:val="22"/>
                <w:szCs w:val="22"/>
              </w:rPr>
              <w:t>2022年4月</w:t>
            </w:r>
          </w:p>
        </w:tc>
        <w:tc>
          <w:tcPr>
            <w:tcW w:w="2113" w:type="dxa"/>
            <w:tcBorders>
              <w:top w:val="nil"/>
              <w:left w:val="nil"/>
              <w:bottom w:val="single" w:sz="4" w:space="0" w:color="auto"/>
              <w:right w:val="single" w:sz="4" w:space="0" w:color="auto"/>
            </w:tcBorders>
            <w:shd w:val="clear" w:color="auto" w:fill="auto"/>
            <w:noWrap/>
            <w:vAlign w:val="bottom"/>
            <w:hideMark/>
          </w:tcPr>
          <w:p w14:paraId="1B3C36BF"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2022.4-2023.6</w:t>
            </w:r>
          </w:p>
        </w:tc>
        <w:tc>
          <w:tcPr>
            <w:tcW w:w="2266" w:type="dxa"/>
            <w:tcBorders>
              <w:top w:val="nil"/>
              <w:left w:val="nil"/>
              <w:bottom w:val="single" w:sz="4" w:space="0" w:color="auto"/>
              <w:right w:val="single" w:sz="4" w:space="0" w:color="auto"/>
            </w:tcBorders>
            <w:shd w:val="clear" w:color="auto" w:fill="auto"/>
            <w:noWrap/>
            <w:vAlign w:val="bottom"/>
            <w:hideMark/>
          </w:tcPr>
          <w:p w14:paraId="700CFA00" w14:textId="77777777" w:rsidR="003F54C5" w:rsidRDefault="003F54C5">
            <w:pPr>
              <w:jc w:val="center"/>
              <w:rPr>
                <w:rFonts w:ascii="DengXian" w:eastAsia="DengXian" w:hAnsi="DengXian"/>
                <w:color w:val="000000"/>
                <w:sz w:val="22"/>
                <w:szCs w:val="22"/>
              </w:rPr>
            </w:pPr>
            <w:r>
              <w:rPr>
                <w:rFonts w:ascii="DengXian" w:eastAsia="DengXian" w:hAnsi="DengXian" w:hint="eastAsia"/>
                <w:color w:val="000000"/>
                <w:sz w:val="22"/>
                <w:szCs w:val="22"/>
              </w:rPr>
              <w:t>15个月</w:t>
            </w:r>
          </w:p>
        </w:tc>
      </w:tr>
    </w:tbl>
    <w:p w14:paraId="54A4B505" w14:textId="77777777" w:rsidR="009B7F1C" w:rsidRDefault="009B7F1C" w:rsidP="009B7F1C"/>
    <w:tbl>
      <w:tblPr>
        <w:tblW w:w="8780" w:type="dxa"/>
        <w:tblLook w:val="04A0" w:firstRow="1" w:lastRow="0" w:firstColumn="1" w:lastColumn="0" w:noHBand="0" w:noVBand="1"/>
      </w:tblPr>
      <w:tblGrid>
        <w:gridCol w:w="1342"/>
        <w:gridCol w:w="2642"/>
        <w:gridCol w:w="2154"/>
        <w:gridCol w:w="2642"/>
      </w:tblGrid>
      <w:tr w:rsidR="00761FE6" w:rsidRPr="00761FE6" w14:paraId="4353BC27" w14:textId="77777777" w:rsidTr="00761FE6">
        <w:trPr>
          <w:trHeight w:val="380"/>
        </w:trPr>
        <w:tc>
          <w:tcPr>
            <w:tcW w:w="878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15C7726" w14:textId="77777777" w:rsidR="00761FE6" w:rsidRPr="00761FE6" w:rsidRDefault="00761FE6" w:rsidP="00761FE6">
            <w:pPr>
              <w:jc w:val="center"/>
              <w:rPr>
                <w:rFonts w:ascii="DengXian" w:eastAsia="DengXian" w:hAnsi="DengXian"/>
                <w:color w:val="FFFFFF"/>
              </w:rPr>
            </w:pPr>
            <w:r w:rsidRPr="00761FE6">
              <w:rPr>
                <w:rFonts w:ascii="DengXian" w:eastAsia="DengXian" w:hAnsi="DengXian" w:hint="eastAsia"/>
                <w:color w:val="FFFFFF"/>
              </w:rPr>
              <w:t>销售明细表</w:t>
            </w:r>
          </w:p>
        </w:tc>
      </w:tr>
      <w:tr w:rsidR="00761FE6" w:rsidRPr="00761FE6" w14:paraId="2BDC6CBC" w14:textId="77777777" w:rsidTr="00761FE6">
        <w:trPr>
          <w:trHeight w:val="380"/>
        </w:trPr>
        <w:tc>
          <w:tcPr>
            <w:tcW w:w="87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0BB7" w14:textId="77777777" w:rsidR="00761FE6" w:rsidRPr="00761FE6" w:rsidRDefault="00761FE6" w:rsidP="00761FE6">
            <w:pPr>
              <w:rPr>
                <w:rFonts w:ascii="仿宋" w:eastAsia="仿宋" w:hAnsi="仿宋"/>
                <w:b/>
                <w:bCs/>
                <w:color w:val="000000"/>
              </w:rPr>
            </w:pPr>
            <w:r w:rsidRPr="00761FE6">
              <w:rPr>
                <w:rFonts w:ascii="仿宋" w:eastAsia="仿宋" w:hAnsi="仿宋" w:hint="eastAsia"/>
                <w:b/>
                <w:bCs/>
                <w:color w:val="000000"/>
              </w:rPr>
              <w:t>一期</w:t>
            </w:r>
          </w:p>
        </w:tc>
      </w:tr>
      <w:tr w:rsidR="00761FE6" w:rsidRPr="00761FE6" w14:paraId="73AAAA39"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2442883"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科目</w:t>
            </w:r>
          </w:p>
        </w:tc>
        <w:tc>
          <w:tcPr>
            <w:tcW w:w="2642" w:type="dxa"/>
            <w:tcBorders>
              <w:top w:val="nil"/>
              <w:left w:val="nil"/>
              <w:bottom w:val="single" w:sz="4" w:space="0" w:color="auto"/>
              <w:right w:val="single" w:sz="4" w:space="0" w:color="auto"/>
            </w:tcBorders>
            <w:shd w:val="clear" w:color="auto" w:fill="auto"/>
            <w:noWrap/>
            <w:vAlign w:val="bottom"/>
            <w:hideMark/>
          </w:tcPr>
          <w:p w14:paraId="4BD2F69E"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可售面积（万㎡）</w:t>
            </w:r>
          </w:p>
        </w:tc>
        <w:tc>
          <w:tcPr>
            <w:tcW w:w="2154" w:type="dxa"/>
            <w:tcBorders>
              <w:top w:val="nil"/>
              <w:left w:val="nil"/>
              <w:bottom w:val="single" w:sz="4" w:space="0" w:color="auto"/>
              <w:right w:val="single" w:sz="4" w:space="0" w:color="auto"/>
            </w:tcBorders>
            <w:shd w:val="clear" w:color="auto" w:fill="auto"/>
            <w:noWrap/>
            <w:vAlign w:val="bottom"/>
            <w:hideMark/>
          </w:tcPr>
          <w:p w14:paraId="774BDABF"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单价（元/㎡）</w:t>
            </w:r>
          </w:p>
        </w:tc>
        <w:tc>
          <w:tcPr>
            <w:tcW w:w="2642" w:type="dxa"/>
            <w:tcBorders>
              <w:top w:val="nil"/>
              <w:left w:val="nil"/>
              <w:bottom w:val="single" w:sz="4" w:space="0" w:color="auto"/>
              <w:right w:val="single" w:sz="4" w:space="0" w:color="auto"/>
            </w:tcBorders>
            <w:shd w:val="clear" w:color="auto" w:fill="auto"/>
            <w:noWrap/>
            <w:vAlign w:val="bottom"/>
            <w:hideMark/>
          </w:tcPr>
          <w:p w14:paraId="3413B8F0"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销售收入（万元）</w:t>
            </w:r>
          </w:p>
        </w:tc>
      </w:tr>
      <w:tr w:rsidR="00761FE6" w:rsidRPr="00761FE6" w14:paraId="6B80CD48"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5514125"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商业毛坯</w:t>
            </w:r>
          </w:p>
        </w:tc>
        <w:tc>
          <w:tcPr>
            <w:tcW w:w="2642" w:type="dxa"/>
            <w:tcBorders>
              <w:top w:val="nil"/>
              <w:left w:val="nil"/>
              <w:bottom w:val="single" w:sz="4" w:space="0" w:color="auto"/>
              <w:right w:val="single" w:sz="4" w:space="0" w:color="auto"/>
            </w:tcBorders>
            <w:shd w:val="clear" w:color="auto" w:fill="auto"/>
            <w:noWrap/>
            <w:vAlign w:val="bottom"/>
            <w:hideMark/>
          </w:tcPr>
          <w:p w14:paraId="493D0CC5"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4.38 </w:t>
            </w:r>
          </w:p>
        </w:tc>
        <w:tc>
          <w:tcPr>
            <w:tcW w:w="2154" w:type="dxa"/>
            <w:tcBorders>
              <w:top w:val="nil"/>
              <w:left w:val="nil"/>
              <w:bottom w:val="single" w:sz="4" w:space="0" w:color="auto"/>
              <w:right w:val="single" w:sz="4" w:space="0" w:color="auto"/>
            </w:tcBorders>
            <w:shd w:val="clear" w:color="auto" w:fill="auto"/>
            <w:noWrap/>
            <w:vAlign w:val="bottom"/>
            <w:hideMark/>
          </w:tcPr>
          <w:p w14:paraId="461FC3CC"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15,000.00 </w:t>
            </w:r>
          </w:p>
        </w:tc>
        <w:tc>
          <w:tcPr>
            <w:tcW w:w="2642" w:type="dxa"/>
            <w:tcBorders>
              <w:top w:val="nil"/>
              <w:left w:val="nil"/>
              <w:bottom w:val="single" w:sz="4" w:space="0" w:color="auto"/>
              <w:right w:val="single" w:sz="4" w:space="0" w:color="auto"/>
            </w:tcBorders>
            <w:shd w:val="clear" w:color="auto" w:fill="auto"/>
            <w:noWrap/>
            <w:vAlign w:val="bottom"/>
            <w:hideMark/>
          </w:tcPr>
          <w:p w14:paraId="4BA747F8"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65,628.00 </w:t>
            </w:r>
          </w:p>
        </w:tc>
      </w:tr>
      <w:tr w:rsidR="00761FE6" w:rsidRPr="00761FE6" w14:paraId="18410C12"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7503B57"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高层酒店</w:t>
            </w:r>
          </w:p>
        </w:tc>
        <w:tc>
          <w:tcPr>
            <w:tcW w:w="2642" w:type="dxa"/>
            <w:tcBorders>
              <w:top w:val="nil"/>
              <w:left w:val="nil"/>
              <w:bottom w:val="single" w:sz="4" w:space="0" w:color="auto"/>
              <w:right w:val="single" w:sz="4" w:space="0" w:color="auto"/>
            </w:tcBorders>
            <w:shd w:val="clear" w:color="auto" w:fill="auto"/>
            <w:noWrap/>
            <w:vAlign w:val="bottom"/>
            <w:hideMark/>
          </w:tcPr>
          <w:p w14:paraId="6C015FEE"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4.06 </w:t>
            </w:r>
          </w:p>
        </w:tc>
        <w:tc>
          <w:tcPr>
            <w:tcW w:w="2154" w:type="dxa"/>
            <w:tcBorders>
              <w:top w:val="nil"/>
              <w:left w:val="nil"/>
              <w:bottom w:val="single" w:sz="4" w:space="0" w:color="auto"/>
              <w:right w:val="single" w:sz="4" w:space="0" w:color="auto"/>
            </w:tcBorders>
            <w:shd w:val="clear" w:color="auto" w:fill="auto"/>
            <w:noWrap/>
            <w:vAlign w:val="bottom"/>
            <w:hideMark/>
          </w:tcPr>
          <w:p w14:paraId="0BCA19D0"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14,000.00 </w:t>
            </w:r>
          </w:p>
        </w:tc>
        <w:tc>
          <w:tcPr>
            <w:tcW w:w="2642" w:type="dxa"/>
            <w:tcBorders>
              <w:top w:val="nil"/>
              <w:left w:val="nil"/>
              <w:bottom w:val="single" w:sz="4" w:space="0" w:color="auto"/>
              <w:right w:val="single" w:sz="4" w:space="0" w:color="auto"/>
            </w:tcBorders>
            <w:shd w:val="clear" w:color="auto" w:fill="auto"/>
            <w:noWrap/>
            <w:vAlign w:val="bottom"/>
            <w:hideMark/>
          </w:tcPr>
          <w:p w14:paraId="634CE6D9"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56,852.60 </w:t>
            </w:r>
          </w:p>
        </w:tc>
      </w:tr>
      <w:tr w:rsidR="00761FE6" w:rsidRPr="00761FE6" w14:paraId="078CE20B"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278BDF9"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颐养院</w:t>
            </w:r>
          </w:p>
        </w:tc>
        <w:tc>
          <w:tcPr>
            <w:tcW w:w="2642" w:type="dxa"/>
            <w:tcBorders>
              <w:top w:val="nil"/>
              <w:left w:val="nil"/>
              <w:bottom w:val="single" w:sz="4" w:space="0" w:color="auto"/>
              <w:right w:val="single" w:sz="4" w:space="0" w:color="auto"/>
            </w:tcBorders>
            <w:shd w:val="clear" w:color="auto" w:fill="auto"/>
            <w:noWrap/>
            <w:vAlign w:val="bottom"/>
            <w:hideMark/>
          </w:tcPr>
          <w:p w14:paraId="3D1CAC1C"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2.07 </w:t>
            </w:r>
          </w:p>
        </w:tc>
        <w:tc>
          <w:tcPr>
            <w:tcW w:w="2154" w:type="dxa"/>
            <w:tcBorders>
              <w:top w:val="nil"/>
              <w:left w:val="nil"/>
              <w:bottom w:val="single" w:sz="4" w:space="0" w:color="auto"/>
              <w:right w:val="single" w:sz="4" w:space="0" w:color="auto"/>
            </w:tcBorders>
            <w:shd w:val="clear" w:color="auto" w:fill="auto"/>
            <w:noWrap/>
            <w:vAlign w:val="bottom"/>
            <w:hideMark/>
          </w:tcPr>
          <w:p w14:paraId="10037FEC"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18,000.00 </w:t>
            </w:r>
          </w:p>
        </w:tc>
        <w:tc>
          <w:tcPr>
            <w:tcW w:w="2642" w:type="dxa"/>
            <w:tcBorders>
              <w:top w:val="nil"/>
              <w:left w:val="nil"/>
              <w:bottom w:val="single" w:sz="4" w:space="0" w:color="auto"/>
              <w:right w:val="single" w:sz="4" w:space="0" w:color="auto"/>
            </w:tcBorders>
            <w:shd w:val="clear" w:color="auto" w:fill="auto"/>
            <w:noWrap/>
            <w:vAlign w:val="bottom"/>
            <w:hideMark/>
          </w:tcPr>
          <w:p w14:paraId="714F3ABA"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37,321.20 </w:t>
            </w:r>
          </w:p>
        </w:tc>
      </w:tr>
      <w:tr w:rsidR="00761FE6" w:rsidRPr="00761FE6" w14:paraId="19B72654"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2C865D6"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地下</w:t>
            </w:r>
          </w:p>
        </w:tc>
        <w:tc>
          <w:tcPr>
            <w:tcW w:w="2642" w:type="dxa"/>
            <w:tcBorders>
              <w:top w:val="nil"/>
              <w:left w:val="nil"/>
              <w:bottom w:val="single" w:sz="4" w:space="0" w:color="auto"/>
              <w:right w:val="single" w:sz="4" w:space="0" w:color="auto"/>
            </w:tcBorders>
            <w:shd w:val="clear" w:color="auto" w:fill="auto"/>
            <w:noWrap/>
            <w:vAlign w:val="bottom"/>
            <w:hideMark/>
          </w:tcPr>
          <w:p w14:paraId="1CF7922B"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10.06 </w:t>
            </w:r>
          </w:p>
        </w:tc>
        <w:tc>
          <w:tcPr>
            <w:tcW w:w="2154" w:type="dxa"/>
            <w:tcBorders>
              <w:top w:val="nil"/>
              <w:left w:val="nil"/>
              <w:bottom w:val="single" w:sz="4" w:space="0" w:color="auto"/>
              <w:right w:val="single" w:sz="4" w:space="0" w:color="auto"/>
            </w:tcBorders>
            <w:shd w:val="clear" w:color="auto" w:fill="auto"/>
            <w:noWrap/>
            <w:vAlign w:val="bottom"/>
            <w:hideMark/>
          </w:tcPr>
          <w:p w14:paraId="60AF43C6"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c>
          <w:tcPr>
            <w:tcW w:w="2642" w:type="dxa"/>
            <w:tcBorders>
              <w:top w:val="nil"/>
              <w:left w:val="nil"/>
              <w:bottom w:val="single" w:sz="4" w:space="0" w:color="auto"/>
              <w:right w:val="single" w:sz="4" w:space="0" w:color="auto"/>
            </w:tcBorders>
            <w:shd w:val="clear" w:color="auto" w:fill="auto"/>
            <w:noWrap/>
            <w:vAlign w:val="bottom"/>
            <w:hideMark/>
          </w:tcPr>
          <w:p w14:paraId="3EC8000F"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r>
      <w:tr w:rsidR="00761FE6" w:rsidRPr="00761FE6" w14:paraId="5243F00C"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246270E"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合计</w:t>
            </w:r>
          </w:p>
        </w:tc>
        <w:tc>
          <w:tcPr>
            <w:tcW w:w="2642" w:type="dxa"/>
            <w:tcBorders>
              <w:top w:val="nil"/>
              <w:left w:val="nil"/>
              <w:bottom w:val="single" w:sz="4" w:space="0" w:color="auto"/>
              <w:right w:val="single" w:sz="4" w:space="0" w:color="auto"/>
            </w:tcBorders>
            <w:shd w:val="clear" w:color="auto" w:fill="auto"/>
            <w:noWrap/>
            <w:vAlign w:val="bottom"/>
            <w:hideMark/>
          </w:tcPr>
          <w:p w14:paraId="785502F3"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20.57 </w:t>
            </w:r>
          </w:p>
        </w:tc>
        <w:tc>
          <w:tcPr>
            <w:tcW w:w="2154" w:type="dxa"/>
            <w:tcBorders>
              <w:top w:val="nil"/>
              <w:left w:val="nil"/>
              <w:bottom w:val="single" w:sz="4" w:space="0" w:color="auto"/>
              <w:right w:val="single" w:sz="4" w:space="0" w:color="auto"/>
            </w:tcBorders>
            <w:shd w:val="clear" w:color="auto" w:fill="auto"/>
            <w:noWrap/>
            <w:vAlign w:val="bottom"/>
            <w:hideMark/>
          </w:tcPr>
          <w:p w14:paraId="705F0D53" w14:textId="260AA6D3" w:rsidR="00761FE6" w:rsidRPr="00761FE6" w:rsidRDefault="009E079A" w:rsidP="00761FE6">
            <w:pPr>
              <w:jc w:val="right"/>
              <w:rPr>
                <w:rFonts w:ascii="仿宋" w:eastAsia="仿宋" w:hAnsi="仿宋"/>
                <w:color w:val="000000"/>
              </w:rPr>
            </w:pPr>
            <w:r>
              <w:rPr>
                <w:rFonts w:ascii="仿宋" w:eastAsia="仿宋" w:hAnsi="仿宋" w:hint="eastAsia"/>
                <w:color w:val="000000"/>
              </w:rPr>
              <w:t>-</w:t>
            </w:r>
          </w:p>
        </w:tc>
        <w:tc>
          <w:tcPr>
            <w:tcW w:w="2642" w:type="dxa"/>
            <w:tcBorders>
              <w:top w:val="nil"/>
              <w:left w:val="nil"/>
              <w:bottom w:val="single" w:sz="4" w:space="0" w:color="auto"/>
              <w:right w:val="single" w:sz="4" w:space="0" w:color="auto"/>
            </w:tcBorders>
            <w:shd w:val="clear" w:color="auto" w:fill="auto"/>
            <w:noWrap/>
            <w:vAlign w:val="bottom"/>
            <w:hideMark/>
          </w:tcPr>
          <w:p w14:paraId="098F1C78"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159,801.80 </w:t>
            </w:r>
          </w:p>
        </w:tc>
      </w:tr>
      <w:tr w:rsidR="00761FE6" w:rsidRPr="00761FE6" w14:paraId="6F49A964" w14:textId="77777777" w:rsidTr="00761FE6">
        <w:trPr>
          <w:trHeight w:val="320"/>
        </w:trPr>
        <w:tc>
          <w:tcPr>
            <w:tcW w:w="87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CEF01" w14:textId="77777777" w:rsidR="00761FE6" w:rsidRPr="00761FE6" w:rsidRDefault="00761FE6" w:rsidP="00761FE6">
            <w:pPr>
              <w:rPr>
                <w:rFonts w:ascii="仿宋" w:eastAsia="仿宋" w:hAnsi="仿宋"/>
                <w:b/>
                <w:bCs/>
                <w:color w:val="000000"/>
              </w:rPr>
            </w:pPr>
            <w:r w:rsidRPr="00761FE6">
              <w:rPr>
                <w:rFonts w:ascii="仿宋" w:eastAsia="仿宋" w:hAnsi="仿宋" w:hint="eastAsia"/>
                <w:b/>
                <w:bCs/>
                <w:color w:val="000000"/>
              </w:rPr>
              <w:t>二期</w:t>
            </w:r>
          </w:p>
        </w:tc>
      </w:tr>
      <w:tr w:rsidR="00761FE6" w:rsidRPr="00761FE6" w14:paraId="7C8A201D"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7F44BB9"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科目</w:t>
            </w:r>
          </w:p>
        </w:tc>
        <w:tc>
          <w:tcPr>
            <w:tcW w:w="2642" w:type="dxa"/>
            <w:tcBorders>
              <w:top w:val="nil"/>
              <w:left w:val="nil"/>
              <w:bottom w:val="single" w:sz="4" w:space="0" w:color="auto"/>
              <w:right w:val="single" w:sz="4" w:space="0" w:color="auto"/>
            </w:tcBorders>
            <w:shd w:val="clear" w:color="auto" w:fill="auto"/>
            <w:noWrap/>
            <w:vAlign w:val="bottom"/>
            <w:hideMark/>
          </w:tcPr>
          <w:p w14:paraId="7209F5B6"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可售面积（万㎡）</w:t>
            </w:r>
          </w:p>
        </w:tc>
        <w:tc>
          <w:tcPr>
            <w:tcW w:w="2154" w:type="dxa"/>
            <w:tcBorders>
              <w:top w:val="nil"/>
              <w:left w:val="nil"/>
              <w:bottom w:val="single" w:sz="4" w:space="0" w:color="auto"/>
              <w:right w:val="single" w:sz="4" w:space="0" w:color="auto"/>
            </w:tcBorders>
            <w:shd w:val="clear" w:color="auto" w:fill="auto"/>
            <w:noWrap/>
            <w:vAlign w:val="bottom"/>
            <w:hideMark/>
          </w:tcPr>
          <w:p w14:paraId="03242A8D"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单价（元/㎡）</w:t>
            </w:r>
          </w:p>
        </w:tc>
        <w:tc>
          <w:tcPr>
            <w:tcW w:w="2642" w:type="dxa"/>
            <w:tcBorders>
              <w:top w:val="nil"/>
              <w:left w:val="nil"/>
              <w:bottom w:val="single" w:sz="4" w:space="0" w:color="auto"/>
              <w:right w:val="single" w:sz="4" w:space="0" w:color="auto"/>
            </w:tcBorders>
            <w:shd w:val="clear" w:color="auto" w:fill="auto"/>
            <w:noWrap/>
            <w:vAlign w:val="bottom"/>
            <w:hideMark/>
          </w:tcPr>
          <w:p w14:paraId="1D811833"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销售收入（万元）</w:t>
            </w:r>
          </w:p>
        </w:tc>
      </w:tr>
      <w:tr w:rsidR="00761FE6" w:rsidRPr="00761FE6" w14:paraId="6F5FF918"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9FEE33B"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老年公寓</w:t>
            </w:r>
          </w:p>
        </w:tc>
        <w:tc>
          <w:tcPr>
            <w:tcW w:w="2642" w:type="dxa"/>
            <w:tcBorders>
              <w:top w:val="nil"/>
              <w:left w:val="nil"/>
              <w:bottom w:val="single" w:sz="4" w:space="0" w:color="auto"/>
              <w:right w:val="single" w:sz="4" w:space="0" w:color="auto"/>
            </w:tcBorders>
            <w:shd w:val="clear" w:color="auto" w:fill="auto"/>
            <w:noWrap/>
            <w:vAlign w:val="bottom"/>
            <w:hideMark/>
          </w:tcPr>
          <w:p w14:paraId="22604173"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17.35 </w:t>
            </w:r>
          </w:p>
        </w:tc>
        <w:tc>
          <w:tcPr>
            <w:tcW w:w="2154" w:type="dxa"/>
            <w:tcBorders>
              <w:top w:val="nil"/>
              <w:left w:val="nil"/>
              <w:bottom w:val="single" w:sz="4" w:space="0" w:color="auto"/>
              <w:right w:val="single" w:sz="4" w:space="0" w:color="auto"/>
            </w:tcBorders>
            <w:shd w:val="clear" w:color="auto" w:fill="auto"/>
            <w:noWrap/>
            <w:vAlign w:val="bottom"/>
            <w:hideMark/>
          </w:tcPr>
          <w:p w14:paraId="61BBABA5"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13,000.00 </w:t>
            </w:r>
          </w:p>
        </w:tc>
        <w:tc>
          <w:tcPr>
            <w:tcW w:w="2642" w:type="dxa"/>
            <w:tcBorders>
              <w:top w:val="nil"/>
              <w:left w:val="nil"/>
              <w:bottom w:val="single" w:sz="4" w:space="0" w:color="auto"/>
              <w:right w:val="single" w:sz="4" w:space="0" w:color="auto"/>
            </w:tcBorders>
            <w:shd w:val="clear" w:color="auto" w:fill="auto"/>
            <w:noWrap/>
            <w:vAlign w:val="bottom"/>
            <w:hideMark/>
          </w:tcPr>
          <w:p w14:paraId="77B4D518"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225,524.00 </w:t>
            </w:r>
          </w:p>
        </w:tc>
      </w:tr>
      <w:tr w:rsidR="00761FE6" w:rsidRPr="00761FE6" w14:paraId="2614D477"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FE405D4"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地下</w:t>
            </w:r>
          </w:p>
        </w:tc>
        <w:tc>
          <w:tcPr>
            <w:tcW w:w="2642" w:type="dxa"/>
            <w:tcBorders>
              <w:top w:val="nil"/>
              <w:left w:val="nil"/>
              <w:bottom w:val="single" w:sz="4" w:space="0" w:color="auto"/>
              <w:right w:val="single" w:sz="4" w:space="0" w:color="auto"/>
            </w:tcBorders>
            <w:shd w:val="clear" w:color="auto" w:fill="auto"/>
            <w:noWrap/>
            <w:vAlign w:val="bottom"/>
            <w:hideMark/>
          </w:tcPr>
          <w:p w14:paraId="79C07672"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10.06 </w:t>
            </w:r>
          </w:p>
        </w:tc>
        <w:tc>
          <w:tcPr>
            <w:tcW w:w="2154" w:type="dxa"/>
            <w:tcBorders>
              <w:top w:val="nil"/>
              <w:left w:val="nil"/>
              <w:bottom w:val="single" w:sz="4" w:space="0" w:color="auto"/>
              <w:right w:val="single" w:sz="4" w:space="0" w:color="auto"/>
            </w:tcBorders>
            <w:shd w:val="clear" w:color="auto" w:fill="auto"/>
            <w:noWrap/>
            <w:vAlign w:val="bottom"/>
            <w:hideMark/>
          </w:tcPr>
          <w:p w14:paraId="678CEAD9"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c>
          <w:tcPr>
            <w:tcW w:w="2642" w:type="dxa"/>
            <w:tcBorders>
              <w:top w:val="nil"/>
              <w:left w:val="nil"/>
              <w:bottom w:val="single" w:sz="4" w:space="0" w:color="auto"/>
              <w:right w:val="single" w:sz="4" w:space="0" w:color="auto"/>
            </w:tcBorders>
            <w:shd w:val="clear" w:color="auto" w:fill="auto"/>
            <w:noWrap/>
            <w:vAlign w:val="bottom"/>
            <w:hideMark/>
          </w:tcPr>
          <w:p w14:paraId="241A755A"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r>
      <w:tr w:rsidR="00761FE6" w:rsidRPr="00761FE6" w14:paraId="1CB0438C"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82799BF"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合计</w:t>
            </w:r>
          </w:p>
        </w:tc>
        <w:tc>
          <w:tcPr>
            <w:tcW w:w="2642" w:type="dxa"/>
            <w:tcBorders>
              <w:top w:val="nil"/>
              <w:left w:val="nil"/>
              <w:bottom w:val="single" w:sz="4" w:space="0" w:color="auto"/>
              <w:right w:val="single" w:sz="4" w:space="0" w:color="auto"/>
            </w:tcBorders>
            <w:shd w:val="clear" w:color="auto" w:fill="auto"/>
            <w:noWrap/>
            <w:vAlign w:val="bottom"/>
            <w:hideMark/>
          </w:tcPr>
          <w:p w14:paraId="7241F6EC"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27.41 </w:t>
            </w:r>
          </w:p>
        </w:tc>
        <w:tc>
          <w:tcPr>
            <w:tcW w:w="2154" w:type="dxa"/>
            <w:tcBorders>
              <w:top w:val="nil"/>
              <w:left w:val="nil"/>
              <w:bottom w:val="single" w:sz="4" w:space="0" w:color="auto"/>
              <w:right w:val="single" w:sz="4" w:space="0" w:color="auto"/>
            </w:tcBorders>
            <w:shd w:val="clear" w:color="auto" w:fill="auto"/>
            <w:noWrap/>
            <w:vAlign w:val="bottom"/>
            <w:hideMark/>
          </w:tcPr>
          <w:p w14:paraId="67AAA0F6"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13,000.00 </w:t>
            </w:r>
          </w:p>
        </w:tc>
        <w:tc>
          <w:tcPr>
            <w:tcW w:w="2642" w:type="dxa"/>
            <w:tcBorders>
              <w:top w:val="nil"/>
              <w:left w:val="nil"/>
              <w:bottom w:val="single" w:sz="4" w:space="0" w:color="auto"/>
              <w:right w:val="single" w:sz="4" w:space="0" w:color="auto"/>
            </w:tcBorders>
            <w:shd w:val="clear" w:color="auto" w:fill="auto"/>
            <w:noWrap/>
            <w:vAlign w:val="bottom"/>
            <w:hideMark/>
          </w:tcPr>
          <w:p w14:paraId="17EDE67F"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225,524.00 </w:t>
            </w:r>
          </w:p>
        </w:tc>
      </w:tr>
      <w:tr w:rsidR="00761FE6" w:rsidRPr="00761FE6" w14:paraId="1B72C101" w14:textId="77777777" w:rsidTr="00761FE6">
        <w:trPr>
          <w:trHeight w:val="320"/>
        </w:trPr>
        <w:tc>
          <w:tcPr>
            <w:tcW w:w="87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082F" w14:textId="77777777" w:rsidR="00761FE6" w:rsidRPr="00761FE6" w:rsidRDefault="00761FE6" w:rsidP="00761FE6">
            <w:pPr>
              <w:rPr>
                <w:rFonts w:ascii="仿宋" w:eastAsia="仿宋" w:hAnsi="仿宋"/>
                <w:b/>
                <w:bCs/>
                <w:color w:val="000000"/>
              </w:rPr>
            </w:pPr>
            <w:r w:rsidRPr="00761FE6">
              <w:rPr>
                <w:rFonts w:ascii="仿宋" w:eastAsia="仿宋" w:hAnsi="仿宋" w:hint="eastAsia"/>
                <w:b/>
                <w:bCs/>
                <w:color w:val="000000"/>
              </w:rPr>
              <w:t>三期</w:t>
            </w:r>
          </w:p>
        </w:tc>
      </w:tr>
      <w:tr w:rsidR="00761FE6" w:rsidRPr="00761FE6" w14:paraId="4EA7F383"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C62F33F"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科目</w:t>
            </w:r>
          </w:p>
        </w:tc>
        <w:tc>
          <w:tcPr>
            <w:tcW w:w="2642" w:type="dxa"/>
            <w:tcBorders>
              <w:top w:val="nil"/>
              <w:left w:val="nil"/>
              <w:bottom w:val="single" w:sz="4" w:space="0" w:color="auto"/>
              <w:right w:val="single" w:sz="4" w:space="0" w:color="auto"/>
            </w:tcBorders>
            <w:shd w:val="clear" w:color="auto" w:fill="auto"/>
            <w:noWrap/>
            <w:vAlign w:val="bottom"/>
            <w:hideMark/>
          </w:tcPr>
          <w:p w14:paraId="1B1A6DFD"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可售面积（万㎡）</w:t>
            </w:r>
          </w:p>
        </w:tc>
        <w:tc>
          <w:tcPr>
            <w:tcW w:w="2154" w:type="dxa"/>
            <w:tcBorders>
              <w:top w:val="nil"/>
              <w:left w:val="nil"/>
              <w:bottom w:val="single" w:sz="4" w:space="0" w:color="auto"/>
              <w:right w:val="single" w:sz="4" w:space="0" w:color="auto"/>
            </w:tcBorders>
            <w:shd w:val="clear" w:color="auto" w:fill="auto"/>
            <w:noWrap/>
            <w:vAlign w:val="bottom"/>
            <w:hideMark/>
          </w:tcPr>
          <w:p w14:paraId="5FFA3BEE"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单价（元/㎡）</w:t>
            </w:r>
          </w:p>
        </w:tc>
        <w:tc>
          <w:tcPr>
            <w:tcW w:w="2642" w:type="dxa"/>
            <w:tcBorders>
              <w:top w:val="nil"/>
              <w:left w:val="nil"/>
              <w:bottom w:val="single" w:sz="4" w:space="0" w:color="auto"/>
              <w:right w:val="single" w:sz="4" w:space="0" w:color="auto"/>
            </w:tcBorders>
            <w:shd w:val="clear" w:color="auto" w:fill="auto"/>
            <w:noWrap/>
            <w:vAlign w:val="bottom"/>
            <w:hideMark/>
          </w:tcPr>
          <w:p w14:paraId="1DD9FC12"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销售收入（万元）</w:t>
            </w:r>
          </w:p>
        </w:tc>
      </w:tr>
      <w:tr w:rsidR="00761FE6" w:rsidRPr="00761FE6" w14:paraId="2F472CEA"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C35D28A"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老年公寓</w:t>
            </w:r>
          </w:p>
        </w:tc>
        <w:tc>
          <w:tcPr>
            <w:tcW w:w="2642" w:type="dxa"/>
            <w:tcBorders>
              <w:top w:val="nil"/>
              <w:left w:val="nil"/>
              <w:bottom w:val="single" w:sz="4" w:space="0" w:color="auto"/>
              <w:right w:val="single" w:sz="4" w:space="0" w:color="auto"/>
            </w:tcBorders>
            <w:shd w:val="clear" w:color="auto" w:fill="auto"/>
            <w:noWrap/>
            <w:vAlign w:val="bottom"/>
            <w:hideMark/>
          </w:tcPr>
          <w:p w14:paraId="57DACBD4"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12.88 </w:t>
            </w:r>
          </w:p>
        </w:tc>
        <w:tc>
          <w:tcPr>
            <w:tcW w:w="2154" w:type="dxa"/>
            <w:tcBorders>
              <w:top w:val="nil"/>
              <w:left w:val="nil"/>
              <w:bottom w:val="single" w:sz="4" w:space="0" w:color="auto"/>
              <w:right w:val="single" w:sz="4" w:space="0" w:color="auto"/>
            </w:tcBorders>
            <w:shd w:val="clear" w:color="auto" w:fill="auto"/>
            <w:noWrap/>
            <w:vAlign w:val="bottom"/>
            <w:hideMark/>
          </w:tcPr>
          <w:p w14:paraId="7FCA59BB"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15,000.00 </w:t>
            </w:r>
          </w:p>
        </w:tc>
        <w:tc>
          <w:tcPr>
            <w:tcW w:w="2642" w:type="dxa"/>
            <w:tcBorders>
              <w:top w:val="nil"/>
              <w:left w:val="nil"/>
              <w:bottom w:val="single" w:sz="4" w:space="0" w:color="auto"/>
              <w:right w:val="single" w:sz="4" w:space="0" w:color="auto"/>
            </w:tcBorders>
            <w:shd w:val="clear" w:color="auto" w:fill="auto"/>
            <w:noWrap/>
            <w:vAlign w:val="bottom"/>
            <w:hideMark/>
          </w:tcPr>
          <w:p w14:paraId="10E15359"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193,183.50 </w:t>
            </w:r>
          </w:p>
        </w:tc>
      </w:tr>
      <w:tr w:rsidR="00761FE6" w:rsidRPr="00761FE6" w14:paraId="71089181"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892CD98"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医院</w:t>
            </w:r>
          </w:p>
        </w:tc>
        <w:tc>
          <w:tcPr>
            <w:tcW w:w="2642" w:type="dxa"/>
            <w:tcBorders>
              <w:top w:val="nil"/>
              <w:left w:val="nil"/>
              <w:bottom w:val="single" w:sz="4" w:space="0" w:color="auto"/>
              <w:right w:val="single" w:sz="4" w:space="0" w:color="auto"/>
            </w:tcBorders>
            <w:shd w:val="clear" w:color="auto" w:fill="auto"/>
            <w:noWrap/>
            <w:vAlign w:val="bottom"/>
            <w:hideMark/>
          </w:tcPr>
          <w:p w14:paraId="12E63017"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3.05 </w:t>
            </w:r>
          </w:p>
        </w:tc>
        <w:tc>
          <w:tcPr>
            <w:tcW w:w="2154" w:type="dxa"/>
            <w:tcBorders>
              <w:top w:val="nil"/>
              <w:left w:val="nil"/>
              <w:bottom w:val="single" w:sz="4" w:space="0" w:color="auto"/>
              <w:right w:val="single" w:sz="4" w:space="0" w:color="auto"/>
            </w:tcBorders>
            <w:shd w:val="clear" w:color="auto" w:fill="auto"/>
            <w:noWrap/>
            <w:vAlign w:val="bottom"/>
            <w:hideMark/>
          </w:tcPr>
          <w:p w14:paraId="23CF9D1A"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c>
          <w:tcPr>
            <w:tcW w:w="2642" w:type="dxa"/>
            <w:tcBorders>
              <w:top w:val="nil"/>
              <w:left w:val="nil"/>
              <w:bottom w:val="single" w:sz="4" w:space="0" w:color="auto"/>
              <w:right w:val="single" w:sz="4" w:space="0" w:color="auto"/>
            </w:tcBorders>
            <w:shd w:val="clear" w:color="auto" w:fill="auto"/>
            <w:noWrap/>
            <w:vAlign w:val="bottom"/>
            <w:hideMark/>
          </w:tcPr>
          <w:p w14:paraId="6ECAB181"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r>
      <w:tr w:rsidR="00761FE6" w:rsidRPr="00761FE6" w14:paraId="50793841"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0C2F493"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地下</w:t>
            </w:r>
          </w:p>
        </w:tc>
        <w:tc>
          <w:tcPr>
            <w:tcW w:w="2642" w:type="dxa"/>
            <w:tcBorders>
              <w:top w:val="nil"/>
              <w:left w:val="nil"/>
              <w:bottom w:val="single" w:sz="4" w:space="0" w:color="auto"/>
              <w:right w:val="single" w:sz="4" w:space="0" w:color="auto"/>
            </w:tcBorders>
            <w:shd w:val="clear" w:color="auto" w:fill="auto"/>
            <w:noWrap/>
            <w:vAlign w:val="bottom"/>
            <w:hideMark/>
          </w:tcPr>
          <w:p w14:paraId="022DAF35"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10.06 </w:t>
            </w:r>
          </w:p>
        </w:tc>
        <w:tc>
          <w:tcPr>
            <w:tcW w:w="2154" w:type="dxa"/>
            <w:tcBorders>
              <w:top w:val="nil"/>
              <w:left w:val="nil"/>
              <w:bottom w:val="single" w:sz="4" w:space="0" w:color="auto"/>
              <w:right w:val="single" w:sz="4" w:space="0" w:color="auto"/>
            </w:tcBorders>
            <w:shd w:val="clear" w:color="auto" w:fill="auto"/>
            <w:noWrap/>
            <w:vAlign w:val="bottom"/>
            <w:hideMark/>
          </w:tcPr>
          <w:p w14:paraId="2DA724D9"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c>
          <w:tcPr>
            <w:tcW w:w="2642" w:type="dxa"/>
            <w:tcBorders>
              <w:top w:val="nil"/>
              <w:left w:val="nil"/>
              <w:bottom w:val="single" w:sz="4" w:space="0" w:color="auto"/>
              <w:right w:val="single" w:sz="4" w:space="0" w:color="auto"/>
            </w:tcBorders>
            <w:shd w:val="clear" w:color="auto" w:fill="auto"/>
            <w:noWrap/>
            <w:vAlign w:val="bottom"/>
            <w:hideMark/>
          </w:tcPr>
          <w:p w14:paraId="003D7334"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   </w:t>
            </w:r>
          </w:p>
        </w:tc>
      </w:tr>
      <w:tr w:rsidR="00761FE6" w:rsidRPr="00761FE6" w14:paraId="6BCA9F54"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56FEF74" w14:textId="77777777" w:rsidR="00761FE6" w:rsidRPr="00761FE6" w:rsidRDefault="00761FE6" w:rsidP="00761FE6">
            <w:pPr>
              <w:rPr>
                <w:rFonts w:ascii="仿宋" w:eastAsia="仿宋" w:hAnsi="仿宋"/>
                <w:color w:val="000000"/>
              </w:rPr>
            </w:pPr>
            <w:r w:rsidRPr="00761FE6">
              <w:rPr>
                <w:rFonts w:ascii="仿宋" w:eastAsia="仿宋" w:hAnsi="仿宋" w:hint="eastAsia"/>
                <w:color w:val="000000"/>
              </w:rPr>
              <w:t>合计</w:t>
            </w:r>
          </w:p>
        </w:tc>
        <w:tc>
          <w:tcPr>
            <w:tcW w:w="2642" w:type="dxa"/>
            <w:tcBorders>
              <w:top w:val="nil"/>
              <w:left w:val="nil"/>
              <w:bottom w:val="single" w:sz="4" w:space="0" w:color="auto"/>
              <w:right w:val="single" w:sz="4" w:space="0" w:color="auto"/>
            </w:tcBorders>
            <w:shd w:val="clear" w:color="auto" w:fill="auto"/>
            <w:noWrap/>
            <w:vAlign w:val="bottom"/>
            <w:hideMark/>
          </w:tcPr>
          <w:p w14:paraId="42421533"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25.99 </w:t>
            </w:r>
          </w:p>
        </w:tc>
        <w:tc>
          <w:tcPr>
            <w:tcW w:w="2154" w:type="dxa"/>
            <w:tcBorders>
              <w:top w:val="nil"/>
              <w:left w:val="nil"/>
              <w:bottom w:val="single" w:sz="4" w:space="0" w:color="auto"/>
              <w:right w:val="single" w:sz="4" w:space="0" w:color="auto"/>
            </w:tcBorders>
            <w:shd w:val="clear" w:color="auto" w:fill="auto"/>
            <w:noWrap/>
            <w:vAlign w:val="bottom"/>
            <w:hideMark/>
          </w:tcPr>
          <w:p w14:paraId="7C341A1E"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15,000.00 </w:t>
            </w:r>
          </w:p>
        </w:tc>
        <w:tc>
          <w:tcPr>
            <w:tcW w:w="2642" w:type="dxa"/>
            <w:tcBorders>
              <w:top w:val="nil"/>
              <w:left w:val="nil"/>
              <w:bottom w:val="single" w:sz="4" w:space="0" w:color="auto"/>
              <w:right w:val="single" w:sz="4" w:space="0" w:color="auto"/>
            </w:tcBorders>
            <w:shd w:val="clear" w:color="auto" w:fill="auto"/>
            <w:noWrap/>
            <w:vAlign w:val="bottom"/>
            <w:hideMark/>
          </w:tcPr>
          <w:p w14:paraId="75DAF3DF" w14:textId="77777777" w:rsidR="00761FE6" w:rsidRPr="00761FE6" w:rsidRDefault="00761FE6" w:rsidP="00761FE6">
            <w:pPr>
              <w:jc w:val="right"/>
              <w:rPr>
                <w:rFonts w:ascii="仿宋" w:eastAsia="仿宋" w:hAnsi="仿宋"/>
                <w:color w:val="000000"/>
              </w:rPr>
            </w:pPr>
            <w:r w:rsidRPr="00761FE6">
              <w:rPr>
                <w:rFonts w:ascii="仿宋" w:eastAsia="仿宋" w:hAnsi="仿宋" w:hint="eastAsia"/>
                <w:color w:val="000000"/>
              </w:rPr>
              <w:t xml:space="preserve"> 193,183.50 </w:t>
            </w:r>
          </w:p>
        </w:tc>
      </w:tr>
      <w:tr w:rsidR="00761FE6" w:rsidRPr="00761FE6" w14:paraId="6088A125" w14:textId="77777777" w:rsidTr="00761FE6">
        <w:trPr>
          <w:trHeight w:val="32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74F5A51" w14:textId="77777777" w:rsidR="00761FE6" w:rsidRPr="00761FE6" w:rsidRDefault="00761FE6" w:rsidP="00761FE6">
            <w:pPr>
              <w:rPr>
                <w:rFonts w:ascii="仿宋" w:eastAsia="仿宋" w:hAnsi="仿宋"/>
                <w:b/>
                <w:bCs/>
                <w:color w:val="000000"/>
              </w:rPr>
            </w:pPr>
            <w:r w:rsidRPr="00761FE6">
              <w:rPr>
                <w:rFonts w:ascii="仿宋" w:eastAsia="仿宋" w:hAnsi="仿宋" w:hint="eastAsia"/>
                <w:b/>
                <w:bCs/>
                <w:color w:val="000000"/>
              </w:rPr>
              <w:t>总计</w:t>
            </w:r>
          </w:p>
        </w:tc>
        <w:tc>
          <w:tcPr>
            <w:tcW w:w="2642" w:type="dxa"/>
            <w:tcBorders>
              <w:top w:val="nil"/>
              <w:left w:val="nil"/>
              <w:bottom w:val="single" w:sz="4" w:space="0" w:color="auto"/>
              <w:right w:val="single" w:sz="4" w:space="0" w:color="auto"/>
            </w:tcBorders>
            <w:shd w:val="clear" w:color="auto" w:fill="auto"/>
            <w:noWrap/>
            <w:vAlign w:val="bottom"/>
            <w:hideMark/>
          </w:tcPr>
          <w:p w14:paraId="1A48B88F" w14:textId="77777777" w:rsidR="00761FE6" w:rsidRPr="00761FE6" w:rsidRDefault="00761FE6" w:rsidP="00761FE6">
            <w:pPr>
              <w:jc w:val="right"/>
              <w:rPr>
                <w:rFonts w:ascii="仿宋" w:eastAsia="仿宋" w:hAnsi="仿宋"/>
                <w:b/>
                <w:bCs/>
                <w:color w:val="000000"/>
              </w:rPr>
            </w:pPr>
            <w:r w:rsidRPr="00761FE6">
              <w:rPr>
                <w:rFonts w:ascii="仿宋" w:eastAsia="仿宋" w:hAnsi="仿宋" w:hint="eastAsia"/>
                <w:b/>
                <w:bCs/>
                <w:color w:val="000000"/>
              </w:rPr>
              <w:t xml:space="preserve"> 73.96 </w:t>
            </w:r>
          </w:p>
        </w:tc>
        <w:tc>
          <w:tcPr>
            <w:tcW w:w="2154" w:type="dxa"/>
            <w:tcBorders>
              <w:top w:val="nil"/>
              <w:left w:val="nil"/>
              <w:bottom w:val="single" w:sz="4" w:space="0" w:color="auto"/>
              <w:right w:val="single" w:sz="4" w:space="0" w:color="auto"/>
            </w:tcBorders>
            <w:shd w:val="clear" w:color="auto" w:fill="auto"/>
            <w:noWrap/>
            <w:vAlign w:val="bottom"/>
            <w:hideMark/>
          </w:tcPr>
          <w:p w14:paraId="72DD0556" w14:textId="77777777" w:rsidR="00761FE6" w:rsidRPr="00761FE6" w:rsidRDefault="00761FE6" w:rsidP="00761FE6">
            <w:pPr>
              <w:jc w:val="right"/>
              <w:rPr>
                <w:rFonts w:ascii="仿宋" w:eastAsia="仿宋" w:hAnsi="仿宋"/>
                <w:b/>
                <w:bCs/>
                <w:color w:val="000000"/>
              </w:rPr>
            </w:pPr>
            <w:r w:rsidRPr="00761FE6">
              <w:rPr>
                <w:rFonts w:ascii="仿宋" w:eastAsia="仿宋" w:hAnsi="仿宋" w:hint="eastAsia"/>
                <w:b/>
                <w:bCs/>
                <w:color w:val="000000"/>
              </w:rPr>
              <w:t xml:space="preserve"> 75,000.00 </w:t>
            </w:r>
          </w:p>
        </w:tc>
        <w:tc>
          <w:tcPr>
            <w:tcW w:w="2642" w:type="dxa"/>
            <w:tcBorders>
              <w:top w:val="nil"/>
              <w:left w:val="nil"/>
              <w:bottom w:val="single" w:sz="4" w:space="0" w:color="auto"/>
              <w:right w:val="single" w:sz="4" w:space="0" w:color="auto"/>
            </w:tcBorders>
            <w:shd w:val="clear" w:color="auto" w:fill="auto"/>
            <w:noWrap/>
            <w:vAlign w:val="bottom"/>
            <w:hideMark/>
          </w:tcPr>
          <w:p w14:paraId="2422A7B5" w14:textId="77777777" w:rsidR="00761FE6" w:rsidRPr="00761FE6" w:rsidRDefault="00761FE6" w:rsidP="00761FE6">
            <w:pPr>
              <w:jc w:val="right"/>
              <w:rPr>
                <w:rFonts w:ascii="仿宋" w:eastAsia="仿宋" w:hAnsi="仿宋"/>
                <w:b/>
                <w:bCs/>
                <w:color w:val="000000"/>
              </w:rPr>
            </w:pPr>
            <w:r w:rsidRPr="00761FE6">
              <w:rPr>
                <w:rFonts w:ascii="仿宋" w:eastAsia="仿宋" w:hAnsi="仿宋" w:hint="eastAsia"/>
                <w:b/>
                <w:bCs/>
                <w:color w:val="000000"/>
              </w:rPr>
              <w:t xml:space="preserve"> 578,509.30 </w:t>
            </w:r>
          </w:p>
        </w:tc>
      </w:tr>
    </w:tbl>
    <w:p w14:paraId="4DC166F1" w14:textId="77777777" w:rsidR="009B7F1C" w:rsidRPr="009B7F1C" w:rsidRDefault="009B7F1C" w:rsidP="009B7F1C"/>
    <w:p w14:paraId="5414EEA8" w14:textId="77777777" w:rsidR="001B7AD8" w:rsidRPr="001B7AD8" w:rsidRDefault="001B7AD8" w:rsidP="001B7AD8"/>
    <w:p w14:paraId="01003592" w14:textId="62C2E1AE" w:rsidR="001B7AD8" w:rsidRDefault="001B7AD8" w:rsidP="001B7AD8">
      <w:pPr>
        <w:pStyle w:val="2"/>
        <w:spacing w:line="360" w:lineRule="auto"/>
        <w:rPr>
          <w:rFonts w:ascii="FangSong" w:eastAsia="FangSong" w:hAnsi="FangSong"/>
        </w:rPr>
      </w:pPr>
      <w:bookmarkStart w:id="43" w:name="_Toc24893545"/>
      <w:r w:rsidRPr="002A2DB5">
        <w:rPr>
          <w:rFonts w:ascii="FangSong" w:eastAsia="FangSong" w:hAnsi="FangSong" w:hint="eastAsia"/>
        </w:rPr>
        <w:t>1</w:t>
      </w:r>
      <w:r>
        <w:rPr>
          <w:rFonts w:ascii="FangSong" w:eastAsia="FangSong" w:hAnsi="FangSong" w:hint="eastAsia"/>
        </w:rPr>
        <w:t>2</w:t>
      </w:r>
      <w:r w:rsidRPr="002A2DB5">
        <w:rPr>
          <w:rFonts w:ascii="FangSong" w:eastAsia="FangSong" w:hAnsi="FangSong" w:hint="eastAsia"/>
        </w:rPr>
        <w:t>.</w:t>
      </w:r>
      <w:r>
        <w:rPr>
          <w:rFonts w:ascii="FangSong" w:eastAsia="FangSong" w:hAnsi="FangSong" w:hint="eastAsia"/>
        </w:rPr>
        <w:t>3现金流分析</w:t>
      </w:r>
      <w:bookmarkEnd w:id="43"/>
    </w:p>
    <w:tbl>
      <w:tblPr>
        <w:tblW w:w="25280" w:type="dxa"/>
        <w:tblInd w:w="5" w:type="dxa"/>
        <w:tblLook w:val="04A0" w:firstRow="1" w:lastRow="0" w:firstColumn="1" w:lastColumn="0" w:noHBand="0" w:noVBand="1"/>
      </w:tblPr>
      <w:tblGrid>
        <w:gridCol w:w="2522"/>
        <w:gridCol w:w="1407"/>
        <w:gridCol w:w="1407"/>
        <w:gridCol w:w="1407"/>
        <w:gridCol w:w="1407"/>
        <w:gridCol w:w="1407"/>
        <w:gridCol w:w="1407"/>
        <w:gridCol w:w="1434"/>
        <w:gridCol w:w="1407"/>
        <w:gridCol w:w="1407"/>
        <w:gridCol w:w="1407"/>
        <w:gridCol w:w="1407"/>
        <w:gridCol w:w="1407"/>
        <w:gridCol w:w="1407"/>
        <w:gridCol w:w="1572"/>
        <w:gridCol w:w="1434"/>
        <w:gridCol w:w="1434"/>
      </w:tblGrid>
      <w:tr w:rsidR="00761FE6" w:rsidRPr="00761FE6" w14:paraId="526911B5" w14:textId="77777777" w:rsidTr="00761FE6">
        <w:trPr>
          <w:trHeight w:val="320"/>
        </w:trPr>
        <w:tc>
          <w:tcPr>
            <w:tcW w:w="25280" w:type="dxa"/>
            <w:gridSpan w:val="17"/>
            <w:tcBorders>
              <w:top w:val="nil"/>
              <w:left w:val="nil"/>
              <w:bottom w:val="single" w:sz="4" w:space="0" w:color="auto"/>
              <w:right w:val="nil"/>
            </w:tcBorders>
            <w:shd w:val="clear" w:color="000000" w:fill="0070C0"/>
            <w:noWrap/>
            <w:vAlign w:val="bottom"/>
            <w:hideMark/>
          </w:tcPr>
          <w:p w14:paraId="585866B5" w14:textId="77777777" w:rsidR="00761FE6" w:rsidRPr="00761FE6" w:rsidRDefault="00761FE6" w:rsidP="00761FE6">
            <w:pPr>
              <w:jc w:val="center"/>
              <w:rPr>
                <w:rFonts w:ascii="DengXian" w:eastAsia="DengXian" w:hAnsi="DengXian"/>
                <w:color w:val="FFFFFF"/>
              </w:rPr>
            </w:pPr>
            <w:r w:rsidRPr="00761FE6">
              <w:rPr>
                <w:rFonts w:ascii="DengXian" w:eastAsia="DengXian" w:hAnsi="DengXian" w:hint="eastAsia"/>
                <w:color w:val="FFFFFF"/>
              </w:rPr>
              <w:t>现金流量表</w:t>
            </w:r>
          </w:p>
        </w:tc>
      </w:tr>
      <w:tr w:rsidR="00761FE6" w:rsidRPr="00761FE6" w14:paraId="54C66745" w14:textId="77777777" w:rsidTr="00761FE6">
        <w:trPr>
          <w:trHeight w:val="320"/>
        </w:trPr>
        <w:tc>
          <w:tcPr>
            <w:tcW w:w="25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D9326F" w14:textId="77777777" w:rsidR="00761FE6" w:rsidRPr="00761FE6" w:rsidRDefault="00761FE6" w:rsidP="00761FE6">
            <w:pPr>
              <w:jc w:val="center"/>
              <w:rPr>
                <w:rFonts w:ascii="微软雅黑" w:eastAsia="微软雅黑" w:hAnsi="微软雅黑"/>
                <w:b/>
                <w:bCs/>
                <w:sz w:val="18"/>
                <w:szCs w:val="18"/>
              </w:rPr>
            </w:pPr>
            <w:r w:rsidRPr="00761FE6">
              <w:rPr>
                <w:rFonts w:ascii="微软雅黑" w:eastAsia="微软雅黑" w:hAnsi="微软雅黑" w:hint="eastAsia"/>
                <w:b/>
                <w:bCs/>
                <w:sz w:val="18"/>
                <w:szCs w:val="18"/>
              </w:rPr>
              <w:t>项目现金流</w:t>
            </w:r>
            <w:r w:rsidRPr="00761FE6">
              <w:rPr>
                <w:rFonts w:ascii="Arial" w:eastAsia="微软雅黑" w:hAnsi="Arial" w:cs="Arial"/>
                <w:b/>
                <w:bCs/>
                <w:sz w:val="18"/>
                <w:szCs w:val="18"/>
              </w:rPr>
              <w:t xml:space="preserve"> </w:t>
            </w:r>
          </w:p>
        </w:tc>
        <w:tc>
          <w:tcPr>
            <w:tcW w:w="140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E709275" w14:textId="77777777" w:rsidR="00761FE6" w:rsidRPr="00761FE6" w:rsidRDefault="00761FE6" w:rsidP="00761FE6">
            <w:pPr>
              <w:jc w:val="center"/>
              <w:rPr>
                <w:rFonts w:ascii="微软雅黑" w:eastAsia="微软雅黑" w:hAnsi="微软雅黑"/>
                <w:b/>
                <w:bCs/>
                <w:sz w:val="18"/>
                <w:szCs w:val="18"/>
              </w:rPr>
            </w:pPr>
            <w:r w:rsidRPr="00761FE6">
              <w:rPr>
                <w:rFonts w:ascii="微软雅黑" w:eastAsia="微软雅黑" w:hAnsi="微软雅黑" w:hint="eastAsia"/>
                <w:b/>
                <w:bCs/>
                <w:sz w:val="18"/>
                <w:szCs w:val="18"/>
              </w:rPr>
              <w:t>合计</w:t>
            </w:r>
          </w:p>
        </w:tc>
        <w:tc>
          <w:tcPr>
            <w:tcW w:w="1407" w:type="dxa"/>
            <w:tcBorders>
              <w:top w:val="nil"/>
              <w:left w:val="nil"/>
              <w:bottom w:val="single" w:sz="4" w:space="0" w:color="auto"/>
              <w:right w:val="single" w:sz="4" w:space="0" w:color="auto"/>
            </w:tcBorders>
            <w:shd w:val="clear" w:color="000000" w:fill="FFFFFF"/>
            <w:noWrap/>
            <w:vAlign w:val="center"/>
            <w:hideMark/>
          </w:tcPr>
          <w:p w14:paraId="1FAF6CF2" w14:textId="77777777" w:rsidR="00761FE6" w:rsidRPr="00761FE6" w:rsidRDefault="00761FE6" w:rsidP="00761FE6">
            <w:pPr>
              <w:jc w:val="center"/>
              <w:rPr>
                <w:rFonts w:ascii="微软雅黑" w:eastAsia="微软雅黑" w:hAnsi="微软雅黑"/>
                <w:b/>
                <w:bCs/>
                <w:sz w:val="18"/>
                <w:szCs w:val="18"/>
              </w:rPr>
            </w:pPr>
            <w:r w:rsidRPr="00761FE6">
              <w:rPr>
                <w:rFonts w:ascii="微软雅黑" w:eastAsia="微软雅黑" w:hAnsi="微软雅黑" w:hint="eastAsia"/>
                <w:b/>
                <w:bCs/>
                <w:sz w:val="18"/>
                <w:szCs w:val="18"/>
              </w:rPr>
              <w:t>2019</w:t>
            </w:r>
          </w:p>
        </w:tc>
        <w:tc>
          <w:tcPr>
            <w:tcW w:w="1407" w:type="dxa"/>
            <w:tcBorders>
              <w:top w:val="nil"/>
              <w:left w:val="nil"/>
              <w:bottom w:val="single" w:sz="4" w:space="0" w:color="auto"/>
              <w:right w:val="single" w:sz="4" w:space="0" w:color="auto"/>
            </w:tcBorders>
            <w:shd w:val="clear" w:color="000000" w:fill="FFFFFF"/>
            <w:noWrap/>
            <w:vAlign w:val="center"/>
            <w:hideMark/>
          </w:tcPr>
          <w:p w14:paraId="27F33C9C"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2020</w:t>
            </w:r>
          </w:p>
        </w:tc>
        <w:tc>
          <w:tcPr>
            <w:tcW w:w="1407" w:type="dxa"/>
            <w:tcBorders>
              <w:top w:val="nil"/>
              <w:left w:val="nil"/>
              <w:bottom w:val="single" w:sz="4" w:space="0" w:color="auto"/>
              <w:right w:val="single" w:sz="4" w:space="0" w:color="auto"/>
            </w:tcBorders>
            <w:shd w:val="clear" w:color="000000" w:fill="FFFFFF"/>
            <w:noWrap/>
            <w:vAlign w:val="center"/>
            <w:hideMark/>
          </w:tcPr>
          <w:p w14:paraId="3968E518"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2020</w:t>
            </w:r>
          </w:p>
        </w:tc>
        <w:tc>
          <w:tcPr>
            <w:tcW w:w="1407" w:type="dxa"/>
            <w:tcBorders>
              <w:top w:val="nil"/>
              <w:left w:val="nil"/>
              <w:bottom w:val="single" w:sz="4" w:space="0" w:color="auto"/>
              <w:right w:val="single" w:sz="4" w:space="0" w:color="auto"/>
            </w:tcBorders>
            <w:shd w:val="clear" w:color="000000" w:fill="FFFFFF"/>
            <w:noWrap/>
            <w:vAlign w:val="center"/>
            <w:hideMark/>
          </w:tcPr>
          <w:p w14:paraId="08299AF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2020</w:t>
            </w:r>
          </w:p>
        </w:tc>
        <w:tc>
          <w:tcPr>
            <w:tcW w:w="1407" w:type="dxa"/>
            <w:tcBorders>
              <w:top w:val="nil"/>
              <w:left w:val="nil"/>
              <w:bottom w:val="single" w:sz="4" w:space="0" w:color="auto"/>
              <w:right w:val="single" w:sz="4" w:space="0" w:color="auto"/>
            </w:tcBorders>
            <w:shd w:val="clear" w:color="000000" w:fill="FFFFFF"/>
            <w:noWrap/>
            <w:vAlign w:val="center"/>
            <w:hideMark/>
          </w:tcPr>
          <w:p w14:paraId="3F29E57E"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2020</w:t>
            </w:r>
          </w:p>
        </w:tc>
        <w:tc>
          <w:tcPr>
            <w:tcW w:w="1434" w:type="dxa"/>
            <w:tcBorders>
              <w:top w:val="nil"/>
              <w:left w:val="nil"/>
              <w:bottom w:val="single" w:sz="4" w:space="0" w:color="auto"/>
              <w:right w:val="single" w:sz="4" w:space="0" w:color="auto"/>
            </w:tcBorders>
            <w:shd w:val="clear" w:color="000000" w:fill="FFFFFF"/>
            <w:noWrap/>
            <w:vAlign w:val="center"/>
            <w:hideMark/>
          </w:tcPr>
          <w:p w14:paraId="4555F9BA"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2021</w:t>
            </w:r>
          </w:p>
        </w:tc>
        <w:tc>
          <w:tcPr>
            <w:tcW w:w="1407" w:type="dxa"/>
            <w:tcBorders>
              <w:top w:val="nil"/>
              <w:left w:val="nil"/>
              <w:bottom w:val="single" w:sz="4" w:space="0" w:color="auto"/>
              <w:right w:val="single" w:sz="4" w:space="0" w:color="auto"/>
            </w:tcBorders>
            <w:shd w:val="clear" w:color="000000" w:fill="FFFFFF"/>
            <w:noWrap/>
            <w:vAlign w:val="center"/>
            <w:hideMark/>
          </w:tcPr>
          <w:p w14:paraId="0E5A1E14"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2021</w:t>
            </w:r>
          </w:p>
        </w:tc>
        <w:tc>
          <w:tcPr>
            <w:tcW w:w="1407" w:type="dxa"/>
            <w:tcBorders>
              <w:top w:val="nil"/>
              <w:left w:val="nil"/>
              <w:bottom w:val="single" w:sz="4" w:space="0" w:color="auto"/>
              <w:right w:val="single" w:sz="4" w:space="0" w:color="auto"/>
            </w:tcBorders>
            <w:shd w:val="clear" w:color="000000" w:fill="FFFFFF"/>
            <w:noWrap/>
            <w:vAlign w:val="center"/>
            <w:hideMark/>
          </w:tcPr>
          <w:p w14:paraId="3240A003"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2021</w:t>
            </w:r>
          </w:p>
        </w:tc>
        <w:tc>
          <w:tcPr>
            <w:tcW w:w="1407" w:type="dxa"/>
            <w:tcBorders>
              <w:top w:val="nil"/>
              <w:left w:val="nil"/>
              <w:bottom w:val="single" w:sz="4" w:space="0" w:color="auto"/>
              <w:right w:val="single" w:sz="4" w:space="0" w:color="auto"/>
            </w:tcBorders>
            <w:shd w:val="clear" w:color="000000" w:fill="FFFFFF"/>
            <w:noWrap/>
            <w:vAlign w:val="center"/>
            <w:hideMark/>
          </w:tcPr>
          <w:p w14:paraId="7447562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2021</w:t>
            </w:r>
          </w:p>
        </w:tc>
        <w:tc>
          <w:tcPr>
            <w:tcW w:w="1407" w:type="dxa"/>
            <w:tcBorders>
              <w:top w:val="nil"/>
              <w:left w:val="nil"/>
              <w:bottom w:val="single" w:sz="4" w:space="0" w:color="auto"/>
              <w:right w:val="single" w:sz="4" w:space="0" w:color="auto"/>
            </w:tcBorders>
            <w:shd w:val="clear" w:color="000000" w:fill="FFFFFF"/>
            <w:noWrap/>
            <w:vAlign w:val="center"/>
            <w:hideMark/>
          </w:tcPr>
          <w:p w14:paraId="6FC0DF7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2022</w:t>
            </w:r>
          </w:p>
        </w:tc>
        <w:tc>
          <w:tcPr>
            <w:tcW w:w="1407" w:type="dxa"/>
            <w:tcBorders>
              <w:top w:val="nil"/>
              <w:left w:val="nil"/>
              <w:bottom w:val="single" w:sz="4" w:space="0" w:color="auto"/>
              <w:right w:val="single" w:sz="4" w:space="0" w:color="auto"/>
            </w:tcBorders>
            <w:shd w:val="clear" w:color="000000" w:fill="FFFFFF"/>
            <w:noWrap/>
            <w:vAlign w:val="center"/>
            <w:hideMark/>
          </w:tcPr>
          <w:p w14:paraId="55490B21"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2022</w:t>
            </w:r>
          </w:p>
        </w:tc>
        <w:tc>
          <w:tcPr>
            <w:tcW w:w="1407" w:type="dxa"/>
            <w:tcBorders>
              <w:top w:val="nil"/>
              <w:left w:val="nil"/>
              <w:bottom w:val="single" w:sz="4" w:space="0" w:color="auto"/>
              <w:right w:val="single" w:sz="4" w:space="0" w:color="auto"/>
            </w:tcBorders>
            <w:shd w:val="clear" w:color="000000" w:fill="FFFFFF"/>
            <w:noWrap/>
            <w:vAlign w:val="center"/>
            <w:hideMark/>
          </w:tcPr>
          <w:p w14:paraId="6E3CCE6C"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2022</w:t>
            </w:r>
          </w:p>
        </w:tc>
        <w:tc>
          <w:tcPr>
            <w:tcW w:w="1572" w:type="dxa"/>
            <w:tcBorders>
              <w:top w:val="nil"/>
              <w:left w:val="nil"/>
              <w:bottom w:val="single" w:sz="4" w:space="0" w:color="auto"/>
              <w:right w:val="single" w:sz="4" w:space="0" w:color="auto"/>
            </w:tcBorders>
            <w:shd w:val="clear" w:color="000000" w:fill="FFFFFF"/>
            <w:noWrap/>
            <w:vAlign w:val="center"/>
            <w:hideMark/>
          </w:tcPr>
          <w:p w14:paraId="2DC7F27B"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2022</w:t>
            </w:r>
          </w:p>
        </w:tc>
        <w:tc>
          <w:tcPr>
            <w:tcW w:w="1434" w:type="dxa"/>
            <w:tcBorders>
              <w:top w:val="nil"/>
              <w:left w:val="nil"/>
              <w:bottom w:val="single" w:sz="4" w:space="0" w:color="auto"/>
              <w:right w:val="single" w:sz="4" w:space="0" w:color="auto"/>
            </w:tcBorders>
            <w:shd w:val="clear" w:color="000000" w:fill="FFFFFF"/>
            <w:noWrap/>
            <w:vAlign w:val="center"/>
            <w:hideMark/>
          </w:tcPr>
          <w:p w14:paraId="6AAE2C3A"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2023</w:t>
            </w:r>
          </w:p>
        </w:tc>
        <w:tc>
          <w:tcPr>
            <w:tcW w:w="1434" w:type="dxa"/>
            <w:tcBorders>
              <w:top w:val="nil"/>
              <w:left w:val="nil"/>
              <w:bottom w:val="single" w:sz="4" w:space="0" w:color="auto"/>
              <w:right w:val="single" w:sz="4" w:space="0" w:color="auto"/>
            </w:tcBorders>
            <w:shd w:val="clear" w:color="000000" w:fill="FFFFFF"/>
            <w:noWrap/>
            <w:vAlign w:val="center"/>
            <w:hideMark/>
          </w:tcPr>
          <w:p w14:paraId="36E39B37"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2023</w:t>
            </w:r>
          </w:p>
        </w:tc>
      </w:tr>
      <w:tr w:rsidR="00761FE6" w:rsidRPr="00761FE6" w14:paraId="02A10FD0" w14:textId="77777777" w:rsidTr="00761FE6">
        <w:trPr>
          <w:trHeight w:val="320"/>
        </w:trPr>
        <w:tc>
          <w:tcPr>
            <w:tcW w:w="2522" w:type="dxa"/>
            <w:vMerge/>
            <w:tcBorders>
              <w:top w:val="nil"/>
              <w:left w:val="single" w:sz="4" w:space="0" w:color="auto"/>
              <w:bottom w:val="single" w:sz="4" w:space="0" w:color="auto"/>
              <w:right w:val="single" w:sz="4" w:space="0" w:color="auto"/>
            </w:tcBorders>
            <w:vAlign w:val="center"/>
            <w:hideMark/>
          </w:tcPr>
          <w:p w14:paraId="5A74972F" w14:textId="77777777" w:rsidR="00761FE6" w:rsidRPr="00761FE6" w:rsidRDefault="00761FE6" w:rsidP="00761FE6">
            <w:pPr>
              <w:rPr>
                <w:rFonts w:ascii="微软雅黑" w:eastAsia="微软雅黑" w:hAnsi="微软雅黑"/>
                <w:b/>
                <w:bCs/>
                <w:sz w:val="18"/>
                <w:szCs w:val="18"/>
              </w:rPr>
            </w:pPr>
          </w:p>
        </w:tc>
        <w:tc>
          <w:tcPr>
            <w:tcW w:w="1407" w:type="dxa"/>
            <w:vMerge/>
            <w:tcBorders>
              <w:top w:val="nil"/>
              <w:left w:val="single" w:sz="4" w:space="0" w:color="auto"/>
              <w:bottom w:val="single" w:sz="4" w:space="0" w:color="auto"/>
              <w:right w:val="single" w:sz="4" w:space="0" w:color="auto"/>
            </w:tcBorders>
            <w:vAlign w:val="center"/>
            <w:hideMark/>
          </w:tcPr>
          <w:p w14:paraId="45D8CD1A" w14:textId="77777777" w:rsidR="00761FE6" w:rsidRPr="00761FE6" w:rsidRDefault="00761FE6" w:rsidP="00761FE6">
            <w:pPr>
              <w:rPr>
                <w:rFonts w:ascii="微软雅黑" w:eastAsia="微软雅黑" w:hAnsi="微软雅黑"/>
                <w:b/>
                <w:bCs/>
                <w:sz w:val="18"/>
                <w:szCs w:val="18"/>
              </w:rPr>
            </w:pPr>
          </w:p>
        </w:tc>
        <w:tc>
          <w:tcPr>
            <w:tcW w:w="1407" w:type="dxa"/>
            <w:tcBorders>
              <w:top w:val="nil"/>
              <w:left w:val="nil"/>
              <w:bottom w:val="single" w:sz="4" w:space="0" w:color="auto"/>
              <w:right w:val="single" w:sz="4" w:space="0" w:color="auto"/>
            </w:tcBorders>
            <w:shd w:val="clear" w:color="000000" w:fill="FFFFFF"/>
            <w:noWrap/>
            <w:vAlign w:val="center"/>
            <w:hideMark/>
          </w:tcPr>
          <w:p w14:paraId="29412EEC"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Q4</w:t>
            </w:r>
          </w:p>
        </w:tc>
        <w:tc>
          <w:tcPr>
            <w:tcW w:w="1407" w:type="dxa"/>
            <w:tcBorders>
              <w:top w:val="nil"/>
              <w:left w:val="nil"/>
              <w:bottom w:val="single" w:sz="4" w:space="0" w:color="auto"/>
              <w:right w:val="single" w:sz="4" w:space="0" w:color="auto"/>
            </w:tcBorders>
            <w:shd w:val="clear" w:color="000000" w:fill="FFFFFF"/>
            <w:noWrap/>
            <w:vAlign w:val="center"/>
            <w:hideMark/>
          </w:tcPr>
          <w:p w14:paraId="44B1CA5B"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Q1</w:t>
            </w:r>
          </w:p>
        </w:tc>
        <w:tc>
          <w:tcPr>
            <w:tcW w:w="1407" w:type="dxa"/>
            <w:tcBorders>
              <w:top w:val="nil"/>
              <w:left w:val="nil"/>
              <w:bottom w:val="single" w:sz="4" w:space="0" w:color="auto"/>
              <w:right w:val="single" w:sz="4" w:space="0" w:color="auto"/>
            </w:tcBorders>
            <w:shd w:val="clear" w:color="000000" w:fill="FFFFFF"/>
            <w:noWrap/>
            <w:vAlign w:val="center"/>
            <w:hideMark/>
          </w:tcPr>
          <w:p w14:paraId="73ACEEDB"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Q2</w:t>
            </w:r>
          </w:p>
        </w:tc>
        <w:tc>
          <w:tcPr>
            <w:tcW w:w="1407" w:type="dxa"/>
            <w:tcBorders>
              <w:top w:val="nil"/>
              <w:left w:val="nil"/>
              <w:bottom w:val="single" w:sz="4" w:space="0" w:color="auto"/>
              <w:right w:val="single" w:sz="4" w:space="0" w:color="auto"/>
            </w:tcBorders>
            <w:shd w:val="clear" w:color="000000" w:fill="FFFFFF"/>
            <w:noWrap/>
            <w:vAlign w:val="center"/>
            <w:hideMark/>
          </w:tcPr>
          <w:p w14:paraId="4C5433AE"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Q3</w:t>
            </w:r>
          </w:p>
        </w:tc>
        <w:tc>
          <w:tcPr>
            <w:tcW w:w="1407" w:type="dxa"/>
            <w:tcBorders>
              <w:top w:val="nil"/>
              <w:left w:val="nil"/>
              <w:bottom w:val="single" w:sz="4" w:space="0" w:color="auto"/>
              <w:right w:val="single" w:sz="4" w:space="0" w:color="auto"/>
            </w:tcBorders>
            <w:shd w:val="clear" w:color="000000" w:fill="FFFFFF"/>
            <w:noWrap/>
            <w:vAlign w:val="center"/>
            <w:hideMark/>
          </w:tcPr>
          <w:p w14:paraId="554F783F"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Q4</w:t>
            </w:r>
          </w:p>
        </w:tc>
        <w:tc>
          <w:tcPr>
            <w:tcW w:w="1434" w:type="dxa"/>
            <w:tcBorders>
              <w:top w:val="nil"/>
              <w:left w:val="nil"/>
              <w:bottom w:val="single" w:sz="4" w:space="0" w:color="auto"/>
              <w:right w:val="single" w:sz="4" w:space="0" w:color="auto"/>
            </w:tcBorders>
            <w:shd w:val="clear" w:color="000000" w:fill="FFFFFF"/>
            <w:noWrap/>
            <w:vAlign w:val="center"/>
            <w:hideMark/>
          </w:tcPr>
          <w:p w14:paraId="64C4E12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Q1</w:t>
            </w:r>
          </w:p>
        </w:tc>
        <w:tc>
          <w:tcPr>
            <w:tcW w:w="1407" w:type="dxa"/>
            <w:tcBorders>
              <w:top w:val="nil"/>
              <w:left w:val="nil"/>
              <w:bottom w:val="single" w:sz="4" w:space="0" w:color="auto"/>
              <w:right w:val="single" w:sz="4" w:space="0" w:color="auto"/>
            </w:tcBorders>
            <w:shd w:val="clear" w:color="000000" w:fill="FFFFFF"/>
            <w:noWrap/>
            <w:vAlign w:val="center"/>
            <w:hideMark/>
          </w:tcPr>
          <w:p w14:paraId="6FFE6DF5"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Q2</w:t>
            </w:r>
          </w:p>
        </w:tc>
        <w:tc>
          <w:tcPr>
            <w:tcW w:w="1407" w:type="dxa"/>
            <w:tcBorders>
              <w:top w:val="nil"/>
              <w:left w:val="nil"/>
              <w:bottom w:val="single" w:sz="4" w:space="0" w:color="auto"/>
              <w:right w:val="single" w:sz="4" w:space="0" w:color="auto"/>
            </w:tcBorders>
            <w:shd w:val="clear" w:color="000000" w:fill="FFFFFF"/>
            <w:noWrap/>
            <w:vAlign w:val="center"/>
            <w:hideMark/>
          </w:tcPr>
          <w:p w14:paraId="0ECD333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Q3</w:t>
            </w:r>
          </w:p>
        </w:tc>
        <w:tc>
          <w:tcPr>
            <w:tcW w:w="1407" w:type="dxa"/>
            <w:tcBorders>
              <w:top w:val="nil"/>
              <w:left w:val="nil"/>
              <w:bottom w:val="single" w:sz="4" w:space="0" w:color="auto"/>
              <w:right w:val="single" w:sz="4" w:space="0" w:color="auto"/>
            </w:tcBorders>
            <w:shd w:val="clear" w:color="000000" w:fill="FFFFFF"/>
            <w:noWrap/>
            <w:vAlign w:val="center"/>
            <w:hideMark/>
          </w:tcPr>
          <w:p w14:paraId="713264F9"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Q4</w:t>
            </w:r>
          </w:p>
        </w:tc>
        <w:tc>
          <w:tcPr>
            <w:tcW w:w="1407" w:type="dxa"/>
            <w:tcBorders>
              <w:top w:val="nil"/>
              <w:left w:val="nil"/>
              <w:bottom w:val="single" w:sz="4" w:space="0" w:color="auto"/>
              <w:right w:val="single" w:sz="4" w:space="0" w:color="auto"/>
            </w:tcBorders>
            <w:shd w:val="clear" w:color="000000" w:fill="FFFFFF"/>
            <w:noWrap/>
            <w:vAlign w:val="center"/>
            <w:hideMark/>
          </w:tcPr>
          <w:p w14:paraId="355893CD"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Q1</w:t>
            </w:r>
          </w:p>
        </w:tc>
        <w:tc>
          <w:tcPr>
            <w:tcW w:w="1407" w:type="dxa"/>
            <w:tcBorders>
              <w:top w:val="nil"/>
              <w:left w:val="nil"/>
              <w:bottom w:val="single" w:sz="4" w:space="0" w:color="auto"/>
              <w:right w:val="single" w:sz="4" w:space="0" w:color="auto"/>
            </w:tcBorders>
            <w:shd w:val="clear" w:color="000000" w:fill="FFFFFF"/>
            <w:noWrap/>
            <w:vAlign w:val="center"/>
            <w:hideMark/>
          </w:tcPr>
          <w:p w14:paraId="222AF651"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Q2</w:t>
            </w:r>
          </w:p>
        </w:tc>
        <w:tc>
          <w:tcPr>
            <w:tcW w:w="1407" w:type="dxa"/>
            <w:tcBorders>
              <w:top w:val="nil"/>
              <w:left w:val="nil"/>
              <w:bottom w:val="single" w:sz="4" w:space="0" w:color="auto"/>
              <w:right w:val="single" w:sz="4" w:space="0" w:color="auto"/>
            </w:tcBorders>
            <w:shd w:val="clear" w:color="000000" w:fill="FFFFFF"/>
            <w:noWrap/>
            <w:vAlign w:val="center"/>
            <w:hideMark/>
          </w:tcPr>
          <w:p w14:paraId="653848E8"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Q3</w:t>
            </w:r>
          </w:p>
        </w:tc>
        <w:tc>
          <w:tcPr>
            <w:tcW w:w="1572" w:type="dxa"/>
            <w:tcBorders>
              <w:top w:val="nil"/>
              <w:left w:val="nil"/>
              <w:bottom w:val="single" w:sz="4" w:space="0" w:color="auto"/>
              <w:right w:val="single" w:sz="4" w:space="0" w:color="auto"/>
            </w:tcBorders>
            <w:shd w:val="clear" w:color="000000" w:fill="FFFFFF"/>
            <w:noWrap/>
            <w:vAlign w:val="center"/>
            <w:hideMark/>
          </w:tcPr>
          <w:p w14:paraId="3B51D10F"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Q4</w:t>
            </w:r>
          </w:p>
        </w:tc>
        <w:tc>
          <w:tcPr>
            <w:tcW w:w="1434" w:type="dxa"/>
            <w:tcBorders>
              <w:top w:val="nil"/>
              <w:left w:val="nil"/>
              <w:bottom w:val="single" w:sz="4" w:space="0" w:color="auto"/>
              <w:right w:val="single" w:sz="4" w:space="0" w:color="auto"/>
            </w:tcBorders>
            <w:shd w:val="clear" w:color="000000" w:fill="FFFFFF"/>
            <w:noWrap/>
            <w:vAlign w:val="center"/>
            <w:hideMark/>
          </w:tcPr>
          <w:p w14:paraId="4CCE120D"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Q1</w:t>
            </w:r>
          </w:p>
        </w:tc>
        <w:tc>
          <w:tcPr>
            <w:tcW w:w="1434" w:type="dxa"/>
            <w:tcBorders>
              <w:top w:val="nil"/>
              <w:left w:val="nil"/>
              <w:bottom w:val="single" w:sz="4" w:space="0" w:color="auto"/>
              <w:right w:val="single" w:sz="4" w:space="0" w:color="auto"/>
            </w:tcBorders>
            <w:shd w:val="clear" w:color="000000" w:fill="FFFFFF"/>
            <w:noWrap/>
            <w:vAlign w:val="center"/>
            <w:hideMark/>
          </w:tcPr>
          <w:p w14:paraId="18976241"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Q2</w:t>
            </w:r>
          </w:p>
        </w:tc>
      </w:tr>
      <w:tr w:rsidR="00761FE6" w:rsidRPr="00761FE6" w14:paraId="21339B71"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BFBFBF"/>
            <w:noWrap/>
            <w:vAlign w:val="center"/>
            <w:hideMark/>
          </w:tcPr>
          <w:p w14:paraId="77E85AE0"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现金流入</w:t>
            </w:r>
          </w:p>
        </w:tc>
        <w:tc>
          <w:tcPr>
            <w:tcW w:w="1407" w:type="dxa"/>
            <w:tcBorders>
              <w:top w:val="nil"/>
              <w:left w:val="nil"/>
              <w:bottom w:val="single" w:sz="4" w:space="0" w:color="auto"/>
              <w:right w:val="single" w:sz="4" w:space="0" w:color="auto"/>
            </w:tcBorders>
            <w:shd w:val="clear" w:color="000000" w:fill="BFBFBF"/>
            <w:noWrap/>
            <w:vAlign w:val="center"/>
            <w:hideMark/>
          </w:tcPr>
          <w:p w14:paraId="27F34C0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3BB93EE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CAEF5E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6F1BFABA"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1F6E95AD"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7070DB19"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34923256"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67A1E894"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9645FB7"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2AB8C32D"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0D246B12"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92C3D39"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1358993"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572" w:type="dxa"/>
            <w:tcBorders>
              <w:top w:val="nil"/>
              <w:left w:val="nil"/>
              <w:bottom w:val="single" w:sz="4" w:space="0" w:color="auto"/>
              <w:right w:val="single" w:sz="4" w:space="0" w:color="auto"/>
            </w:tcBorders>
            <w:shd w:val="clear" w:color="000000" w:fill="BFBFBF"/>
            <w:noWrap/>
            <w:vAlign w:val="center"/>
            <w:hideMark/>
          </w:tcPr>
          <w:p w14:paraId="3DEBAC63"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15411F98"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7E65C496" w14:textId="77777777" w:rsidR="00761FE6" w:rsidRPr="00761FE6" w:rsidRDefault="00761FE6" w:rsidP="00761FE6">
            <w:pP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r>
      <w:tr w:rsidR="00761FE6" w:rsidRPr="00761FE6" w14:paraId="5A25D0FC"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53DEF5B9" w14:textId="77777777" w:rsidR="00761FE6" w:rsidRPr="00761FE6" w:rsidRDefault="00761FE6" w:rsidP="00761FE6">
            <w:pPr>
              <w:ind w:firstLineChars="100" w:firstLine="180"/>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销售收入-一期</w:t>
            </w:r>
          </w:p>
        </w:tc>
        <w:tc>
          <w:tcPr>
            <w:tcW w:w="1407" w:type="dxa"/>
            <w:tcBorders>
              <w:top w:val="nil"/>
              <w:left w:val="nil"/>
              <w:bottom w:val="single" w:sz="4" w:space="0" w:color="auto"/>
              <w:right w:val="single" w:sz="4" w:space="0" w:color="auto"/>
            </w:tcBorders>
            <w:shd w:val="clear" w:color="000000" w:fill="FFFFFF"/>
            <w:noWrap/>
            <w:vAlign w:val="center"/>
            <w:hideMark/>
          </w:tcPr>
          <w:p w14:paraId="2B859279"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159,801.80 </w:t>
            </w:r>
          </w:p>
        </w:tc>
        <w:tc>
          <w:tcPr>
            <w:tcW w:w="1407" w:type="dxa"/>
            <w:tcBorders>
              <w:top w:val="nil"/>
              <w:left w:val="nil"/>
              <w:bottom w:val="single" w:sz="4" w:space="0" w:color="auto"/>
              <w:right w:val="single" w:sz="4" w:space="0" w:color="auto"/>
            </w:tcBorders>
            <w:shd w:val="clear" w:color="auto" w:fill="auto"/>
            <w:noWrap/>
            <w:vAlign w:val="center"/>
            <w:hideMark/>
          </w:tcPr>
          <w:p w14:paraId="3E5104BF"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52FF69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C13EB9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34155C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31,960.36 </w:t>
            </w:r>
          </w:p>
        </w:tc>
        <w:tc>
          <w:tcPr>
            <w:tcW w:w="1407" w:type="dxa"/>
            <w:tcBorders>
              <w:top w:val="nil"/>
              <w:left w:val="nil"/>
              <w:bottom w:val="single" w:sz="4" w:space="0" w:color="auto"/>
              <w:right w:val="single" w:sz="4" w:space="0" w:color="auto"/>
            </w:tcBorders>
            <w:shd w:val="clear" w:color="000000" w:fill="FFFFFF"/>
            <w:noWrap/>
            <w:vAlign w:val="center"/>
            <w:hideMark/>
          </w:tcPr>
          <w:p w14:paraId="7C83571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47,940.54 </w:t>
            </w:r>
          </w:p>
        </w:tc>
        <w:tc>
          <w:tcPr>
            <w:tcW w:w="1434" w:type="dxa"/>
            <w:tcBorders>
              <w:top w:val="nil"/>
              <w:left w:val="nil"/>
              <w:bottom w:val="single" w:sz="4" w:space="0" w:color="auto"/>
              <w:right w:val="single" w:sz="4" w:space="0" w:color="auto"/>
            </w:tcBorders>
            <w:shd w:val="clear" w:color="000000" w:fill="FFFFFF"/>
            <w:noWrap/>
            <w:vAlign w:val="center"/>
            <w:hideMark/>
          </w:tcPr>
          <w:p w14:paraId="55B07A2D"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31,960.36 </w:t>
            </w:r>
          </w:p>
        </w:tc>
        <w:tc>
          <w:tcPr>
            <w:tcW w:w="1407" w:type="dxa"/>
            <w:tcBorders>
              <w:top w:val="nil"/>
              <w:left w:val="nil"/>
              <w:bottom w:val="single" w:sz="4" w:space="0" w:color="auto"/>
              <w:right w:val="single" w:sz="4" w:space="0" w:color="auto"/>
            </w:tcBorders>
            <w:shd w:val="clear" w:color="000000" w:fill="FFFFFF"/>
            <w:noWrap/>
            <w:vAlign w:val="center"/>
            <w:hideMark/>
          </w:tcPr>
          <w:p w14:paraId="6E4BEE15"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47,940.54 </w:t>
            </w:r>
          </w:p>
        </w:tc>
        <w:tc>
          <w:tcPr>
            <w:tcW w:w="1407" w:type="dxa"/>
            <w:tcBorders>
              <w:top w:val="nil"/>
              <w:left w:val="nil"/>
              <w:bottom w:val="single" w:sz="4" w:space="0" w:color="auto"/>
              <w:right w:val="single" w:sz="4" w:space="0" w:color="auto"/>
            </w:tcBorders>
            <w:shd w:val="clear" w:color="000000" w:fill="FFFFFF"/>
            <w:noWrap/>
            <w:vAlign w:val="center"/>
            <w:hideMark/>
          </w:tcPr>
          <w:p w14:paraId="71F97E6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B725F0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DB458E6"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AC342B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FE3A4E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1B38EDE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720BB086"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457FFD5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6CF39E30"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77CF351A" w14:textId="77777777" w:rsidR="00761FE6" w:rsidRPr="00761FE6" w:rsidRDefault="00761FE6" w:rsidP="00761FE6">
            <w:pPr>
              <w:ind w:firstLineChars="100" w:firstLine="180"/>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销售收入-二期</w:t>
            </w:r>
          </w:p>
        </w:tc>
        <w:tc>
          <w:tcPr>
            <w:tcW w:w="1407" w:type="dxa"/>
            <w:tcBorders>
              <w:top w:val="nil"/>
              <w:left w:val="nil"/>
              <w:bottom w:val="single" w:sz="4" w:space="0" w:color="auto"/>
              <w:right w:val="single" w:sz="4" w:space="0" w:color="auto"/>
            </w:tcBorders>
            <w:shd w:val="clear" w:color="000000" w:fill="FFFFFF"/>
            <w:noWrap/>
            <w:vAlign w:val="center"/>
            <w:hideMark/>
          </w:tcPr>
          <w:p w14:paraId="63351350"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225,524.00 </w:t>
            </w:r>
          </w:p>
        </w:tc>
        <w:tc>
          <w:tcPr>
            <w:tcW w:w="1407" w:type="dxa"/>
            <w:tcBorders>
              <w:top w:val="nil"/>
              <w:left w:val="nil"/>
              <w:bottom w:val="single" w:sz="4" w:space="0" w:color="auto"/>
              <w:right w:val="single" w:sz="4" w:space="0" w:color="auto"/>
            </w:tcBorders>
            <w:shd w:val="clear" w:color="auto" w:fill="auto"/>
            <w:noWrap/>
            <w:vAlign w:val="center"/>
            <w:hideMark/>
          </w:tcPr>
          <w:p w14:paraId="0632E16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8FE9B4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A98426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E38E93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8580E31"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5254984"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2820D05"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23A37E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112,762.00 </w:t>
            </w:r>
          </w:p>
        </w:tc>
        <w:tc>
          <w:tcPr>
            <w:tcW w:w="1407" w:type="dxa"/>
            <w:tcBorders>
              <w:top w:val="nil"/>
              <w:left w:val="nil"/>
              <w:bottom w:val="single" w:sz="4" w:space="0" w:color="auto"/>
              <w:right w:val="single" w:sz="4" w:space="0" w:color="auto"/>
            </w:tcBorders>
            <w:shd w:val="clear" w:color="000000" w:fill="FFFFFF"/>
            <w:noWrap/>
            <w:vAlign w:val="center"/>
            <w:hideMark/>
          </w:tcPr>
          <w:p w14:paraId="3E7F96DF"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67,657.20 </w:t>
            </w:r>
          </w:p>
        </w:tc>
        <w:tc>
          <w:tcPr>
            <w:tcW w:w="1407" w:type="dxa"/>
            <w:tcBorders>
              <w:top w:val="nil"/>
              <w:left w:val="nil"/>
              <w:bottom w:val="single" w:sz="4" w:space="0" w:color="auto"/>
              <w:right w:val="single" w:sz="4" w:space="0" w:color="auto"/>
            </w:tcBorders>
            <w:shd w:val="clear" w:color="000000" w:fill="FFFFFF"/>
            <w:noWrap/>
            <w:vAlign w:val="center"/>
            <w:hideMark/>
          </w:tcPr>
          <w:p w14:paraId="3FCBCFE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45,104.80 </w:t>
            </w:r>
          </w:p>
        </w:tc>
        <w:tc>
          <w:tcPr>
            <w:tcW w:w="1407" w:type="dxa"/>
            <w:tcBorders>
              <w:top w:val="nil"/>
              <w:left w:val="nil"/>
              <w:bottom w:val="single" w:sz="4" w:space="0" w:color="auto"/>
              <w:right w:val="single" w:sz="4" w:space="0" w:color="auto"/>
            </w:tcBorders>
            <w:shd w:val="clear" w:color="000000" w:fill="FFFFFF"/>
            <w:noWrap/>
            <w:vAlign w:val="center"/>
            <w:hideMark/>
          </w:tcPr>
          <w:p w14:paraId="08F3205E"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22D750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54EEDD2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6AA67B0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FCAAA4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6C96318E"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59089850" w14:textId="77777777" w:rsidR="00761FE6" w:rsidRPr="00761FE6" w:rsidRDefault="00761FE6" w:rsidP="00761FE6">
            <w:pPr>
              <w:ind w:firstLineChars="100" w:firstLine="180"/>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销售收入-三期</w:t>
            </w:r>
          </w:p>
        </w:tc>
        <w:tc>
          <w:tcPr>
            <w:tcW w:w="1407" w:type="dxa"/>
            <w:tcBorders>
              <w:top w:val="nil"/>
              <w:left w:val="nil"/>
              <w:bottom w:val="single" w:sz="4" w:space="0" w:color="auto"/>
              <w:right w:val="single" w:sz="4" w:space="0" w:color="auto"/>
            </w:tcBorders>
            <w:shd w:val="clear" w:color="000000" w:fill="FFFFFF"/>
            <w:noWrap/>
            <w:vAlign w:val="center"/>
            <w:hideMark/>
          </w:tcPr>
          <w:p w14:paraId="39C81F16"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193,183.50 </w:t>
            </w:r>
          </w:p>
        </w:tc>
        <w:tc>
          <w:tcPr>
            <w:tcW w:w="1407" w:type="dxa"/>
            <w:tcBorders>
              <w:top w:val="nil"/>
              <w:left w:val="nil"/>
              <w:bottom w:val="single" w:sz="4" w:space="0" w:color="auto"/>
              <w:right w:val="single" w:sz="4" w:space="0" w:color="auto"/>
            </w:tcBorders>
            <w:shd w:val="clear" w:color="auto" w:fill="auto"/>
            <w:noWrap/>
            <w:vAlign w:val="center"/>
            <w:hideMark/>
          </w:tcPr>
          <w:p w14:paraId="4D5D69A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3AB23A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782A9E9"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ABD21FD"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4CDD8A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7FD4E2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BAC96BF"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71FF00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F484A29"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351C5E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3224C44"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38,636.70 </w:t>
            </w:r>
          </w:p>
        </w:tc>
        <w:tc>
          <w:tcPr>
            <w:tcW w:w="1407" w:type="dxa"/>
            <w:tcBorders>
              <w:top w:val="nil"/>
              <w:left w:val="nil"/>
              <w:bottom w:val="single" w:sz="4" w:space="0" w:color="auto"/>
              <w:right w:val="single" w:sz="4" w:space="0" w:color="auto"/>
            </w:tcBorders>
            <w:shd w:val="clear" w:color="000000" w:fill="FFFFFF"/>
            <w:noWrap/>
            <w:vAlign w:val="center"/>
            <w:hideMark/>
          </w:tcPr>
          <w:p w14:paraId="05D4B7A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38,636.70 </w:t>
            </w:r>
          </w:p>
        </w:tc>
        <w:tc>
          <w:tcPr>
            <w:tcW w:w="1572" w:type="dxa"/>
            <w:tcBorders>
              <w:top w:val="nil"/>
              <w:left w:val="nil"/>
              <w:bottom w:val="single" w:sz="4" w:space="0" w:color="auto"/>
              <w:right w:val="single" w:sz="4" w:space="0" w:color="auto"/>
            </w:tcBorders>
            <w:shd w:val="clear" w:color="000000" w:fill="FFFFFF"/>
            <w:noWrap/>
            <w:vAlign w:val="center"/>
            <w:hideMark/>
          </w:tcPr>
          <w:p w14:paraId="4C956DAF"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38,636.70 </w:t>
            </w:r>
          </w:p>
        </w:tc>
        <w:tc>
          <w:tcPr>
            <w:tcW w:w="1434" w:type="dxa"/>
            <w:tcBorders>
              <w:top w:val="nil"/>
              <w:left w:val="nil"/>
              <w:bottom w:val="single" w:sz="4" w:space="0" w:color="auto"/>
              <w:right w:val="single" w:sz="4" w:space="0" w:color="auto"/>
            </w:tcBorders>
            <w:shd w:val="clear" w:color="000000" w:fill="FFFFFF"/>
            <w:noWrap/>
            <w:vAlign w:val="center"/>
            <w:hideMark/>
          </w:tcPr>
          <w:p w14:paraId="1B9DB66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38,636.70 </w:t>
            </w:r>
          </w:p>
        </w:tc>
        <w:tc>
          <w:tcPr>
            <w:tcW w:w="1434" w:type="dxa"/>
            <w:tcBorders>
              <w:top w:val="nil"/>
              <w:left w:val="nil"/>
              <w:bottom w:val="single" w:sz="4" w:space="0" w:color="auto"/>
              <w:right w:val="single" w:sz="4" w:space="0" w:color="auto"/>
            </w:tcBorders>
            <w:shd w:val="clear" w:color="000000" w:fill="FFFFFF"/>
            <w:noWrap/>
            <w:vAlign w:val="center"/>
            <w:hideMark/>
          </w:tcPr>
          <w:p w14:paraId="0C6A7EF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38,636.70 </w:t>
            </w:r>
          </w:p>
        </w:tc>
      </w:tr>
      <w:tr w:rsidR="00761FE6" w:rsidRPr="00761FE6" w14:paraId="4E7BA50A"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58F814A3" w14:textId="77777777" w:rsidR="00761FE6" w:rsidRPr="00761FE6" w:rsidRDefault="00761FE6" w:rsidP="00761FE6">
            <w:pPr>
              <w:ind w:firstLineChars="100" w:firstLine="180"/>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股东借款</w:t>
            </w:r>
          </w:p>
        </w:tc>
        <w:tc>
          <w:tcPr>
            <w:tcW w:w="1407" w:type="dxa"/>
            <w:tcBorders>
              <w:top w:val="nil"/>
              <w:left w:val="nil"/>
              <w:bottom w:val="single" w:sz="4" w:space="0" w:color="auto"/>
              <w:right w:val="single" w:sz="4" w:space="0" w:color="auto"/>
            </w:tcBorders>
            <w:shd w:val="clear" w:color="000000" w:fill="FFFFFF"/>
            <w:noWrap/>
            <w:vAlign w:val="center"/>
            <w:hideMark/>
          </w:tcPr>
          <w:p w14:paraId="403C9B63"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30,000.00 </w:t>
            </w:r>
          </w:p>
        </w:tc>
        <w:tc>
          <w:tcPr>
            <w:tcW w:w="1407" w:type="dxa"/>
            <w:tcBorders>
              <w:top w:val="nil"/>
              <w:left w:val="nil"/>
              <w:bottom w:val="single" w:sz="4" w:space="0" w:color="auto"/>
              <w:right w:val="single" w:sz="4" w:space="0" w:color="auto"/>
            </w:tcBorders>
            <w:shd w:val="clear" w:color="auto" w:fill="auto"/>
            <w:noWrap/>
            <w:vAlign w:val="center"/>
            <w:hideMark/>
          </w:tcPr>
          <w:p w14:paraId="70220D9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30,000.00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656F3D0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7852F26"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B6EBD7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2665C9B"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5BFBAE3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157D41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1705B3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E67ECD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3F53C1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20DF5D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C9D5CF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5C049FE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876A2B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A4D9C8D"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7BAE5FFA"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787745F9"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 xml:space="preserve">   金融机构借款</w:t>
            </w:r>
          </w:p>
        </w:tc>
        <w:tc>
          <w:tcPr>
            <w:tcW w:w="1407" w:type="dxa"/>
            <w:tcBorders>
              <w:top w:val="nil"/>
              <w:left w:val="nil"/>
              <w:bottom w:val="single" w:sz="4" w:space="0" w:color="auto"/>
              <w:right w:val="single" w:sz="4" w:space="0" w:color="auto"/>
            </w:tcBorders>
            <w:shd w:val="clear" w:color="000000" w:fill="FFFFFF"/>
            <w:noWrap/>
            <w:vAlign w:val="center"/>
            <w:hideMark/>
          </w:tcPr>
          <w:p w14:paraId="12C45D64"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240,000.00 </w:t>
            </w:r>
          </w:p>
        </w:tc>
        <w:tc>
          <w:tcPr>
            <w:tcW w:w="1407" w:type="dxa"/>
            <w:tcBorders>
              <w:top w:val="nil"/>
              <w:left w:val="nil"/>
              <w:bottom w:val="single" w:sz="4" w:space="0" w:color="auto"/>
              <w:right w:val="single" w:sz="4" w:space="0" w:color="auto"/>
            </w:tcBorders>
            <w:shd w:val="clear" w:color="auto" w:fill="auto"/>
            <w:noWrap/>
            <w:vAlign w:val="center"/>
            <w:hideMark/>
          </w:tcPr>
          <w:p w14:paraId="123F899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140,000.00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2A8E2B8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B29242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60,000.00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645BB50B"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2D3D4389"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40,000.00 </w:t>
            </w:r>
          </w:p>
        </w:tc>
        <w:tc>
          <w:tcPr>
            <w:tcW w:w="1434" w:type="dxa"/>
            <w:tcBorders>
              <w:top w:val="nil"/>
              <w:left w:val="nil"/>
              <w:bottom w:val="single" w:sz="4" w:space="0" w:color="auto"/>
              <w:right w:val="single" w:sz="4" w:space="0" w:color="auto"/>
            </w:tcBorders>
            <w:shd w:val="clear" w:color="000000" w:fill="FFFFFF"/>
            <w:noWrap/>
            <w:vAlign w:val="center"/>
            <w:hideMark/>
          </w:tcPr>
          <w:p w14:paraId="22549EC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235B56F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0223F715"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8CAA0B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0838BC1"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19559B5"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99F527D"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302C682B"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2A4FC8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7E78CF1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1C70F9C9"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BA4EEEE"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 xml:space="preserve">   自有资金</w:t>
            </w:r>
          </w:p>
        </w:tc>
        <w:tc>
          <w:tcPr>
            <w:tcW w:w="1407" w:type="dxa"/>
            <w:tcBorders>
              <w:top w:val="nil"/>
              <w:left w:val="nil"/>
              <w:bottom w:val="single" w:sz="4" w:space="0" w:color="auto"/>
              <w:right w:val="single" w:sz="4" w:space="0" w:color="auto"/>
            </w:tcBorders>
            <w:shd w:val="clear" w:color="000000" w:fill="FFFFFF"/>
            <w:noWrap/>
            <w:vAlign w:val="center"/>
            <w:hideMark/>
          </w:tcPr>
          <w:p w14:paraId="316F1D11" w14:textId="77777777" w:rsidR="00761FE6" w:rsidRPr="00761FE6" w:rsidRDefault="00761FE6" w:rsidP="00761FE6">
            <w:pPr>
              <w:jc w:val="center"/>
              <w:rPr>
                <w:rFonts w:ascii="Arial" w:eastAsia="DengXian" w:hAnsi="Arial" w:cs="Arial"/>
                <w:color w:val="C00000"/>
                <w:sz w:val="18"/>
                <w:szCs w:val="18"/>
              </w:rPr>
            </w:pPr>
            <w:r w:rsidRPr="00761FE6">
              <w:rPr>
                <w:rFonts w:ascii="Arial" w:eastAsia="DengXian" w:hAnsi="Arial" w:cs="Arial"/>
                <w:color w:val="C00000"/>
                <w:sz w:val="18"/>
                <w:szCs w:val="18"/>
              </w:rPr>
              <w:t xml:space="preserve"> 80,000.00 </w:t>
            </w:r>
          </w:p>
        </w:tc>
        <w:tc>
          <w:tcPr>
            <w:tcW w:w="1407" w:type="dxa"/>
            <w:tcBorders>
              <w:top w:val="nil"/>
              <w:left w:val="nil"/>
              <w:bottom w:val="single" w:sz="4" w:space="0" w:color="auto"/>
              <w:right w:val="single" w:sz="4" w:space="0" w:color="auto"/>
            </w:tcBorders>
            <w:shd w:val="clear" w:color="auto" w:fill="auto"/>
            <w:noWrap/>
            <w:vAlign w:val="center"/>
            <w:hideMark/>
          </w:tcPr>
          <w:p w14:paraId="0EBAF1B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4D7B97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80,000.00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52F30F14"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1964DF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E3A5640"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6F0B9456"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A46A533"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33C560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CBDA688"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2AA94A2"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514F3F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FE09197"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553E2A8A"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4CF2E46C"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1D31D97B" w14:textId="77777777" w:rsidR="00761FE6" w:rsidRPr="00761FE6" w:rsidRDefault="00761FE6" w:rsidP="00761FE6">
            <w:pPr>
              <w:jc w:val="right"/>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5304BE89"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352B4D0A"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小计</w:t>
            </w:r>
          </w:p>
        </w:tc>
        <w:tc>
          <w:tcPr>
            <w:tcW w:w="1407" w:type="dxa"/>
            <w:tcBorders>
              <w:top w:val="nil"/>
              <w:left w:val="nil"/>
              <w:bottom w:val="single" w:sz="4" w:space="0" w:color="auto"/>
              <w:right w:val="single" w:sz="4" w:space="0" w:color="auto"/>
            </w:tcBorders>
            <w:shd w:val="clear" w:color="000000" w:fill="FFFFFF"/>
            <w:noWrap/>
            <w:vAlign w:val="center"/>
            <w:hideMark/>
          </w:tcPr>
          <w:p w14:paraId="59375B3D"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928,509.30 </w:t>
            </w:r>
          </w:p>
        </w:tc>
        <w:tc>
          <w:tcPr>
            <w:tcW w:w="1407" w:type="dxa"/>
            <w:tcBorders>
              <w:top w:val="nil"/>
              <w:left w:val="nil"/>
              <w:bottom w:val="single" w:sz="4" w:space="0" w:color="auto"/>
              <w:right w:val="single" w:sz="4" w:space="0" w:color="auto"/>
            </w:tcBorders>
            <w:shd w:val="clear" w:color="auto" w:fill="auto"/>
            <w:noWrap/>
            <w:vAlign w:val="center"/>
            <w:hideMark/>
          </w:tcPr>
          <w:p w14:paraId="3BB40E8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170,000.00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059D081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80,000.00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744C07A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60,000.00 </w:t>
            </w:r>
          </w:p>
        </w:tc>
        <w:tc>
          <w:tcPr>
            <w:tcW w:w="1407" w:type="dxa"/>
            <w:tcBorders>
              <w:top w:val="nil"/>
              <w:left w:val="nil"/>
              <w:bottom w:val="single" w:sz="4" w:space="0" w:color="auto"/>
              <w:right w:val="single" w:sz="4" w:space="0" w:color="auto"/>
            </w:tcBorders>
            <w:shd w:val="clear" w:color="000000" w:fill="FFFFFF"/>
            <w:noWrap/>
            <w:vAlign w:val="center"/>
            <w:hideMark/>
          </w:tcPr>
          <w:p w14:paraId="23CFC0A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31,960.36 </w:t>
            </w:r>
          </w:p>
        </w:tc>
        <w:tc>
          <w:tcPr>
            <w:tcW w:w="1407" w:type="dxa"/>
            <w:tcBorders>
              <w:top w:val="nil"/>
              <w:left w:val="nil"/>
              <w:bottom w:val="single" w:sz="4" w:space="0" w:color="auto"/>
              <w:right w:val="single" w:sz="4" w:space="0" w:color="auto"/>
            </w:tcBorders>
            <w:shd w:val="clear" w:color="000000" w:fill="FFFFFF"/>
            <w:noWrap/>
            <w:vAlign w:val="center"/>
            <w:hideMark/>
          </w:tcPr>
          <w:p w14:paraId="741EBF1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87,940.54 </w:t>
            </w:r>
          </w:p>
        </w:tc>
        <w:tc>
          <w:tcPr>
            <w:tcW w:w="1434" w:type="dxa"/>
            <w:tcBorders>
              <w:top w:val="nil"/>
              <w:left w:val="nil"/>
              <w:bottom w:val="single" w:sz="4" w:space="0" w:color="auto"/>
              <w:right w:val="single" w:sz="4" w:space="0" w:color="auto"/>
            </w:tcBorders>
            <w:shd w:val="clear" w:color="000000" w:fill="FFFFFF"/>
            <w:noWrap/>
            <w:vAlign w:val="center"/>
            <w:hideMark/>
          </w:tcPr>
          <w:p w14:paraId="5A95382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31,960.36 </w:t>
            </w:r>
          </w:p>
        </w:tc>
        <w:tc>
          <w:tcPr>
            <w:tcW w:w="1407" w:type="dxa"/>
            <w:tcBorders>
              <w:top w:val="nil"/>
              <w:left w:val="nil"/>
              <w:bottom w:val="single" w:sz="4" w:space="0" w:color="auto"/>
              <w:right w:val="single" w:sz="4" w:space="0" w:color="auto"/>
            </w:tcBorders>
            <w:shd w:val="clear" w:color="000000" w:fill="FFFFFF"/>
            <w:noWrap/>
            <w:vAlign w:val="center"/>
            <w:hideMark/>
          </w:tcPr>
          <w:p w14:paraId="2997507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47,940.54 </w:t>
            </w:r>
          </w:p>
        </w:tc>
        <w:tc>
          <w:tcPr>
            <w:tcW w:w="1407" w:type="dxa"/>
            <w:tcBorders>
              <w:top w:val="nil"/>
              <w:left w:val="nil"/>
              <w:bottom w:val="single" w:sz="4" w:space="0" w:color="auto"/>
              <w:right w:val="single" w:sz="4" w:space="0" w:color="auto"/>
            </w:tcBorders>
            <w:shd w:val="clear" w:color="000000" w:fill="FFFFFF"/>
            <w:noWrap/>
            <w:vAlign w:val="center"/>
            <w:hideMark/>
          </w:tcPr>
          <w:p w14:paraId="2CF7809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112,762.00 </w:t>
            </w:r>
          </w:p>
        </w:tc>
        <w:tc>
          <w:tcPr>
            <w:tcW w:w="1407" w:type="dxa"/>
            <w:tcBorders>
              <w:top w:val="nil"/>
              <w:left w:val="nil"/>
              <w:bottom w:val="single" w:sz="4" w:space="0" w:color="auto"/>
              <w:right w:val="single" w:sz="4" w:space="0" w:color="auto"/>
            </w:tcBorders>
            <w:shd w:val="clear" w:color="000000" w:fill="FFFFFF"/>
            <w:noWrap/>
            <w:vAlign w:val="center"/>
            <w:hideMark/>
          </w:tcPr>
          <w:p w14:paraId="2E0DB92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67,657.20 </w:t>
            </w:r>
          </w:p>
        </w:tc>
        <w:tc>
          <w:tcPr>
            <w:tcW w:w="1407" w:type="dxa"/>
            <w:tcBorders>
              <w:top w:val="nil"/>
              <w:left w:val="nil"/>
              <w:bottom w:val="single" w:sz="4" w:space="0" w:color="auto"/>
              <w:right w:val="single" w:sz="4" w:space="0" w:color="auto"/>
            </w:tcBorders>
            <w:shd w:val="clear" w:color="000000" w:fill="FFFFFF"/>
            <w:noWrap/>
            <w:vAlign w:val="center"/>
            <w:hideMark/>
          </w:tcPr>
          <w:p w14:paraId="5F85479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45,104.80 </w:t>
            </w:r>
          </w:p>
        </w:tc>
        <w:tc>
          <w:tcPr>
            <w:tcW w:w="1407" w:type="dxa"/>
            <w:tcBorders>
              <w:top w:val="nil"/>
              <w:left w:val="nil"/>
              <w:bottom w:val="single" w:sz="4" w:space="0" w:color="auto"/>
              <w:right w:val="single" w:sz="4" w:space="0" w:color="auto"/>
            </w:tcBorders>
            <w:shd w:val="clear" w:color="000000" w:fill="FFFFFF"/>
            <w:noWrap/>
            <w:vAlign w:val="center"/>
            <w:hideMark/>
          </w:tcPr>
          <w:p w14:paraId="171842B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38,636.70 </w:t>
            </w:r>
          </w:p>
        </w:tc>
        <w:tc>
          <w:tcPr>
            <w:tcW w:w="1407" w:type="dxa"/>
            <w:tcBorders>
              <w:top w:val="nil"/>
              <w:left w:val="nil"/>
              <w:bottom w:val="single" w:sz="4" w:space="0" w:color="auto"/>
              <w:right w:val="single" w:sz="4" w:space="0" w:color="auto"/>
            </w:tcBorders>
            <w:shd w:val="clear" w:color="000000" w:fill="FFFFFF"/>
            <w:noWrap/>
            <w:vAlign w:val="center"/>
            <w:hideMark/>
          </w:tcPr>
          <w:p w14:paraId="18C3948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38,636.70 </w:t>
            </w:r>
          </w:p>
        </w:tc>
        <w:tc>
          <w:tcPr>
            <w:tcW w:w="1572" w:type="dxa"/>
            <w:tcBorders>
              <w:top w:val="nil"/>
              <w:left w:val="nil"/>
              <w:bottom w:val="single" w:sz="4" w:space="0" w:color="auto"/>
              <w:right w:val="single" w:sz="4" w:space="0" w:color="auto"/>
            </w:tcBorders>
            <w:shd w:val="clear" w:color="000000" w:fill="FFFFFF"/>
            <w:noWrap/>
            <w:vAlign w:val="center"/>
            <w:hideMark/>
          </w:tcPr>
          <w:p w14:paraId="2225240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38,636.70 </w:t>
            </w:r>
          </w:p>
        </w:tc>
        <w:tc>
          <w:tcPr>
            <w:tcW w:w="1434" w:type="dxa"/>
            <w:tcBorders>
              <w:top w:val="nil"/>
              <w:left w:val="nil"/>
              <w:bottom w:val="single" w:sz="4" w:space="0" w:color="auto"/>
              <w:right w:val="single" w:sz="4" w:space="0" w:color="auto"/>
            </w:tcBorders>
            <w:shd w:val="clear" w:color="000000" w:fill="FFFFFF"/>
            <w:noWrap/>
            <w:vAlign w:val="center"/>
            <w:hideMark/>
          </w:tcPr>
          <w:p w14:paraId="05E31FF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38,636.70 </w:t>
            </w:r>
          </w:p>
        </w:tc>
        <w:tc>
          <w:tcPr>
            <w:tcW w:w="1434" w:type="dxa"/>
            <w:tcBorders>
              <w:top w:val="nil"/>
              <w:left w:val="nil"/>
              <w:bottom w:val="single" w:sz="4" w:space="0" w:color="auto"/>
              <w:right w:val="single" w:sz="4" w:space="0" w:color="auto"/>
            </w:tcBorders>
            <w:shd w:val="clear" w:color="000000" w:fill="FFFFFF"/>
            <w:noWrap/>
            <w:vAlign w:val="center"/>
            <w:hideMark/>
          </w:tcPr>
          <w:p w14:paraId="754E2C4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38,636.70 </w:t>
            </w:r>
          </w:p>
        </w:tc>
      </w:tr>
      <w:tr w:rsidR="00761FE6" w:rsidRPr="00761FE6" w14:paraId="02C305F4"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BFBFBF"/>
            <w:noWrap/>
            <w:vAlign w:val="center"/>
            <w:hideMark/>
          </w:tcPr>
          <w:p w14:paraId="780E7099"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现金流出</w:t>
            </w:r>
          </w:p>
        </w:tc>
        <w:tc>
          <w:tcPr>
            <w:tcW w:w="1407" w:type="dxa"/>
            <w:tcBorders>
              <w:top w:val="nil"/>
              <w:left w:val="nil"/>
              <w:bottom w:val="single" w:sz="4" w:space="0" w:color="auto"/>
              <w:right w:val="single" w:sz="4" w:space="0" w:color="auto"/>
            </w:tcBorders>
            <w:shd w:val="clear" w:color="000000" w:fill="BFBFBF"/>
            <w:noWrap/>
            <w:vAlign w:val="center"/>
            <w:hideMark/>
          </w:tcPr>
          <w:p w14:paraId="5D028DD3" w14:textId="77777777" w:rsidR="00761FE6" w:rsidRPr="00761FE6" w:rsidRDefault="00761FE6" w:rsidP="00761FE6">
            <w:pPr>
              <w:jc w:val="right"/>
              <w:rPr>
                <w:rFonts w:ascii="Arial" w:eastAsia="DengXian" w:hAnsi="Arial" w:cs="Arial"/>
                <w:sz w:val="18"/>
                <w:szCs w:val="18"/>
              </w:rPr>
            </w:pPr>
            <w:r w:rsidRPr="00761FE6">
              <w:rPr>
                <w:rFonts w:ascii="Arial" w:eastAsia="DengXian" w:hAnsi="Arial" w:cs="Arial"/>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607B56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30C679B9"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938711E"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15586D9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7C71A7C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2F3D65CA"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6176C5BB"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248C7E7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3CDD35E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0D6AF85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5BC5749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BFBFBF"/>
            <w:noWrap/>
            <w:vAlign w:val="center"/>
            <w:hideMark/>
          </w:tcPr>
          <w:p w14:paraId="4115FED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572" w:type="dxa"/>
            <w:tcBorders>
              <w:top w:val="nil"/>
              <w:left w:val="nil"/>
              <w:bottom w:val="single" w:sz="4" w:space="0" w:color="auto"/>
              <w:right w:val="single" w:sz="4" w:space="0" w:color="auto"/>
            </w:tcBorders>
            <w:shd w:val="clear" w:color="000000" w:fill="BFBFBF"/>
            <w:noWrap/>
            <w:vAlign w:val="center"/>
            <w:hideMark/>
          </w:tcPr>
          <w:p w14:paraId="03DF983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33DE47D9"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34" w:type="dxa"/>
            <w:tcBorders>
              <w:top w:val="nil"/>
              <w:left w:val="nil"/>
              <w:bottom w:val="single" w:sz="4" w:space="0" w:color="auto"/>
              <w:right w:val="single" w:sz="4" w:space="0" w:color="auto"/>
            </w:tcBorders>
            <w:shd w:val="clear" w:color="000000" w:fill="BFBFBF"/>
            <w:noWrap/>
            <w:vAlign w:val="center"/>
            <w:hideMark/>
          </w:tcPr>
          <w:p w14:paraId="7177249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r>
      <w:tr w:rsidR="00761FE6" w:rsidRPr="00761FE6" w14:paraId="40615143"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EC82082"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一、土地及大配套费</w:t>
            </w:r>
          </w:p>
        </w:tc>
        <w:tc>
          <w:tcPr>
            <w:tcW w:w="1407" w:type="dxa"/>
            <w:tcBorders>
              <w:top w:val="nil"/>
              <w:left w:val="nil"/>
              <w:bottom w:val="single" w:sz="4" w:space="0" w:color="auto"/>
              <w:right w:val="single" w:sz="4" w:space="0" w:color="auto"/>
            </w:tcBorders>
            <w:shd w:val="clear" w:color="000000" w:fill="FFFFFF"/>
            <w:noWrap/>
            <w:vAlign w:val="center"/>
            <w:hideMark/>
          </w:tcPr>
          <w:p w14:paraId="2E93DDEB"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70,600.00 </w:t>
            </w:r>
          </w:p>
        </w:tc>
        <w:tc>
          <w:tcPr>
            <w:tcW w:w="1407" w:type="dxa"/>
            <w:tcBorders>
              <w:top w:val="nil"/>
              <w:left w:val="nil"/>
              <w:bottom w:val="single" w:sz="4" w:space="0" w:color="auto"/>
              <w:right w:val="single" w:sz="4" w:space="0" w:color="auto"/>
            </w:tcBorders>
            <w:shd w:val="clear" w:color="auto" w:fill="auto"/>
            <w:noWrap/>
            <w:vAlign w:val="center"/>
            <w:hideMark/>
          </w:tcPr>
          <w:p w14:paraId="79B53DC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70,600.00 </w:t>
            </w:r>
          </w:p>
        </w:tc>
        <w:tc>
          <w:tcPr>
            <w:tcW w:w="1407" w:type="dxa"/>
            <w:tcBorders>
              <w:top w:val="nil"/>
              <w:left w:val="nil"/>
              <w:bottom w:val="single" w:sz="4" w:space="0" w:color="auto"/>
              <w:right w:val="single" w:sz="4" w:space="0" w:color="auto"/>
            </w:tcBorders>
            <w:shd w:val="clear" w:color="auto" w:fill="auto"/>
            <w:noWrap/>
            <w:vAlign w:val="center"/>
            <w:hideMark/>
          </w:tcPr>
          <w:p w14:paraId="39112C4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62DD7AC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65BC51A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04963FD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auto" w:fill="auto"/>
            <w:noWrap/>
            <w:vAlign w:val="center"/>
            <w:hideMark/>
          </w:tcPr>
          <w:p w14:paraId="131B63A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1CCB145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35D87EE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4D889B2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0CB565C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260EAD7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auto" w:fill="auto"/>
            <w:noWrap/>
            <w:vAlign w:val="center"/>
            <w:hideMark/>
          </w:tcPr>
          <w:p w14:paraId="1C21286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572" w:type="dxa"/>
            <w:tcBorders>
              <w:top w:val="nil"/>
              <w:left w:val="nil"/>
              <w:bottom w:val="single" w:sz="4" w:space="0" w:color="auto"/>
              <w:right w:val="single" w:sz="4" w:space="0" w:color="auto"/>
            </w:tcBorders>
            <w:shd w:val="clear" w:color="auto" w:fill="auto"/>
            <w:noWrap/>
            <w:vAlign w:val="center"/>
            <w:hideMark/>
          </w:tcPr>
          <w:p w14:paraId="3F17315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auto" w:fill="auto"/>
            <w:noWrap/>
            <w:vAlign w:val="center"/>
            <w:hideMark/>
          </w:tcPr>
          <w:p w14:paraId="77CD76A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auto" w:fill="auto"/>
            <w:noWrap/>
            <w:vAlign w:val="center"/>
            <w:hideMark/>
          </w:tcPr>
          <w:p w14:paraId="204CE10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r>
      <w:tr w:rsidR="00761FE6" w:rsidRPr="00761FE6" w14:paraId="52ABB38B"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70774603"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1、土地款</w:t>
            </w:r>
          </w:p>
        </w:tc>
        <w:tc>
          <w:tcPr>
            <w:tcW w:w="1407" w:type="dxa"/>
            <w:tcBorders>
              <w:top w:val="nil"/>
              <w:left w:val="nil"/>
              <w:bottom w:val="single" w:sz="4" w:space="0" w:color="auto"/>
              <w:right w:val="single" w:sz="4" w:space="0" w:color="auto"/>
            </w:tcBorders>
            <w:shd w:val="clear" w:color="000000" w:fill="FFFFFF"/>
            <w:noWrap/>
            <w:vAlign w:val="center"/>
            <w:hideMark/>
          </w:tcPr>
          <w:p w14:paraId="2AC5D6A7"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70,600.00 </w:t>
            </w:r>
          </w:p>
        </w:tc>
        <w:tc>
          <w:tcPr>
            <w:tcW w:w="1407" w:type="dxa"/>
            <w:tcBorders>
              <w:top w:val="nil"/>
              <w:left w:val="nil"/>
              <w:bottom w:val="single" w:sz="4" w:space="0" w:color="auto"/>
              <w:right w:val="single" w:sz="4" w:space="0" w:color="auto"/>
            </w:tcBorders>
            <w:shd w:val="clear" w:color="auto" w:fill="auto"/>
            <w:noWrap/>
            <w:vAlign w:val="center"/>
            <w:hideMark/>
          </w:tcPr>
          <w:p w14:paraId="02C89E5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70,600.00 </w:t>
            </w:r>
          </w:p>
        </w:tc>
        <w:tc>
          <w:tcPr>
            <w:tcW w:w="1407" w:type="dxa"/>
            <w:tcBorders>
              <w:top w:val="nil"/>
              <w:left w:val="nil"/>
              <w:bottom w:val="single" w:sz="4" w:space="0" w:color="auto"/>
              <w:right w:val="single" w:sz="4" w:space="0" w:color="auto"/>
            </w:tcBorders>
            <w:shd w:val="clear" w:color="000000" w:fill="FFFFFF"/>
            <w:noWrap/>
            <w:vAlign w:val="center"/>
            <w:hideMark/>
          </w:tcPr>
          <w:p w14:paraId="656FF328"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2D0272B"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67B5AB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554CE6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17EA1FA"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218D0E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D12388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F0E94D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D71C09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FF7619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068934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06E81E49"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11DE8F2B"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227246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72A3D5DC"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2013C393"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2、大配套费</w:t>
            </w:r>
          </w:p>
        </w:tc>
        <w:tc>
          <w:tcPr>
            <w:tcW w:w="1407" w:type="dxa"/>
            <w:tcBorders>
              <w:top w:val="nil"/>
              <w:left w:val="nil"/>
              <w:bottom w:val="single" w:sz="4" w:space="0" w:color="auto"/>
              <w:right w:val="single" w:sz="4" w:space="0" w:color="auto"/>
            </w:tcBorders>
            <w:shd w:val="clear" w:color="000000" w:fill="FFFFFF"/>
            <w:noWrap/>
            <w:vAlign w:val="center"/>
            <w:hideMark/>
          </w:tcPr>
          <w:p w14:paraId="31429D58"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39B029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CC07CC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F80CC0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B1FA5D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82A3AF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725EED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548ED1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9BCB20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7055C4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3B1E51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AAD658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91E1B7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4311135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11F489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830C93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r>
      <w:tr w:rsidR="00761FE6" w:rsidRPr="00761FE6" w14:paraId="091EE9FF"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2505BF0"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3、土地契税</w:t>
            </w:r>
          </w:p>
        </w:tc>
        <w:tc>
          <w:tcPr>
            <w:tcW w:w="1407" w:type="dxa"/>
            <w:tcBorders>
              <w:top w:val="nil"/>
              <w:left w:val="nil"/>
              <w:bottom w:val="single" w:sz="4" w:space="0" w:color="auto"/>
              <w:right w:val="single" w:sz="4" w:space="0" w:color="auto"/>
            </w:tcBorders>
            <w:shd w:val="clear" w:color="000000" w:fill="FFFFFF"/>
            <w:noWrap/>
            <w:vAlign w:val="center"/>
            <w:hideMark/>
          </w:tcPr>
          <w:p w14:paraId="2FE3BD90"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EEBF9B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DD757A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94AF67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BDE07A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FD9468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4D7351E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C18FE6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5E585B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146DF4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6F1341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E6802C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73FCE3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35D6A46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66D61B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D49F3E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r>
      <w:tr w:rsidR="00761FE6" w:rsidRPr="00761FE6" w14:paraId="7BCD0E12"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2037F88"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4、土地交易费用</w:t>
            </w:r>
          </w:p>
        </w:tc>
        <w:tc>
          <w:tcPr>
            <w:tcW w:w="1407" w:type="dxa"/>
            <w:tcBorders>
              <w:top w:val="nil"/>
              <w:left w:val="nil"/>
              <w:bottom w:val="single" w:sz="4" w:space="0" w:color="auto"/>
              <w:right w:val="single" w:sz="4" w:space="0" w:color="auto"/>
            </w:tcBorders>
            <w:shd w:val="clear" w:color="000000" w:fill="FFFFFF"/>
            <w:noWrap/>
            <w:vAlign w:val="center"/>
            <w:hideMark/>
          </w:tcPr>
          <w:p w14:paraId="5B40381B"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9B54A6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AF39BF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EB44BE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5D15EB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C2CA04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470D83E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C8B2DE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26C0A9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5DE6A5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0A35E2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65F0B0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735F84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7C83CB7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672142C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20B050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r>
      <w:tr w:rsidR="00761FE6" w:rsidRPr="00761FE6" w14:paraId="15309679"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4A1C6A6"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二、建造成本</w:t>
            </w:r>
          </w:p>
        </w:tc>
        <w:tc>
          <w:tcPr>
            <w:tcW w:w="1407" w:type="dxa"/>
            <w:tcBorders>
              <w:top w:val="nil"/>
              <w:left w:val="nil"/>
              <w:bottom w:val="single" w:sz="4" w:space="0" w:color="auto"/>
              <w:right w:val="single" w:sz="4" w:space="0" w:color="auto"/>
            </w:tcBorders>
            <w:shd w:val="clear" w:color="000000" w:fill="FFFFFF"/>
            <w:noWrap/>
            <w:vAlign w:val="center"/>
            <w:hideMark/>
          </w:tcPr>
          <w:p w14:paraId="4D4E8D5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273,884.00 </w:t>
            </w:r>
          </w:p>
        </w:tc>
        <w:tc>
          <w:tcPr>
            <w:tcW w:w="1407" w:type="dxa"/>
            <w:tcBorders>
              <w:top w:val="nil"/>
              <w:left w:val="nil"/>
              <w:bottom w:val="single" w:sz="4" w:space="0" w:color="auto"/>
              <w:right w:val="single" w:sz="4" w:space="0" w:color="auto"/>
            </w:tcBorders>
            <w:shd w:val="clear" w:color="000000" w:fill="FFFFFF"/>
            <w:noWrap/>
            <w:vAlign w:val="center"/>
            <w:hideMark/>
          </w:tcPr>
          <w:p w14:paraId="59905369"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7,944.00 </w:t>
            </w:r>
          </w:p>
        </w:tc>
        <w:tc>
          <w:tcPr>
            <w:tcW w:w="1407" w:type="dxa"/>
            <w:tcBorders>
              <w:top w:val="nil"/>
              <w:left w:val="nil"/>
              <w:bottom w:val="single" w:sz="4" w:space="0" w:color="auto"/>
              <w:right w:val="single" w:sz="4" w:space="0" w:color="auto"/>
            </w:tcBorders>
            <w:shd w:val="clear" w:color="000000" w:fill="FFFFFF"/>
            <w:noWrap/>
            <w:vAlign w:val="center"/>
            <w:hideMark/>
          </w:tcPr>
          <w:p w14:paraId="10DCCE1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20,039.00 </w:t>
            </w:r>
          </w:p>
        </w:tc>
        <w:tc>
          <w:tcPr>
            <w:tcW w:w="1407" w:type="dxa"/>
            <w:tcBorders>
              <w:top w:val="nil"/>
              <w:left w:val="nil"/>
              <w:bottom w:val="single" w:sz="4" w:space="0" w:color="auto"/>
              <w:right w:val="single" w:sz="4" w:space="0" w:color="auto"/>
            </w:tcBorders>
            <w:shd w:val="clear" w:color="000000" w:fill="FFFFFF"/>
            <w:noWrap/>
            <w:vAlign w:val="center"/>
            <w:hideMark/>
          </w:tcPr>
          <w:p w14:paraId="01DA43BD"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30,318.00 </w:t>
            </w:r>
          </w:p>
        </w:tc>
        <w:tc>
          <w:tcPr>
            <w:tcW w:w="1407" w:type="dxa"/>
            <w:tcBorders>
              <w:top w:val="nil"/>
              <w:left w:val="nil"/>
              <w:bottom w:val="single" w:sz="4" w:space="0" w:color="auto"/>
              <w:right w:val="single" w:sz="4" w:space="0" w:color="auto"/>
            </w:tcBorders>
            <w:shd w:val="clear" w:color="000000" w:fill="FFFFFF"/>
            <w:noWrap/>
            <w:vAlign w:val="center"/>
            <w:hideMark/>
          </w:tcPr>
          <w:p w14:paraId="2D6549CE"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25,426.00 </w:t>
            </w:r>
          </w:p>
        </w:tc>
        <w:tc>
          <w:tcPr>
            <w:tcW w:w="1407" w:type="dxa"/>
            <w:tcBorders>
              <w:top w:val="nil"/>
              <w:left w:val="nil"/>
              <w:bottom w:val="single" w:sz="4" w:space="0" w:color="auto"/>
              <w:right w:val="single" w:sz="4" w:space="0" w:color="auto"/>
            </w:tcBorders>
            <w:shd w:val="clear" w:color="000000" w:fill="FFFFFF"/>
            <w:noWrap/>
            <w:vAlign w:val="center"/>
            <w:hideMark/>
          </w:tcPr>
          <w:p w14:paraId="21CD3AC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25,654.00 </w:t>
            </w:r>
          </w:p>
        </w:tc>
        <w:tc>
          <w:tcPr>
            <w:tcW w:w="1434" w:type="dxa"/>
            <w:tcBorders>
              <w:top w:val="nil"/>
              <w:left w:val="nil"/>
              <w:bottom w:val="single" w:sz="4" w:space="0" w:color="auto"/>
              <w:right w:val="single" w:sz="4" w:space="0" w:color="auto"/>
            </w:tcBorders>
            <w:shd w:val="clear" w:color="000000" w:fill="FFFFFF"/>
            <w:noWrap/>
            <w:vAlign w:val="center"/>
            <w:hideMark/>
          </w:tcPr>
          <w:p w14:paraId="5953E391"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32,221.00 </w:t>
            </w:r>
          </w:p>
        </w:tc>
        <w:tc>
          <w:tcPr>
            <w:tcW w:w="1407" w:type="dxa"/>
            <w:tcBorders>
              <w:top w:val="nil"/>
              <w:left w:val="nil"/>
              <w:bottom w:val="single" w:sz="4" w:space="0" w:color="auto"/>
              <w:right w:val="single" w:sz="4" w:space="0" w:color="auto"/>
            </w:tcBorders>
            <w:shd w:val="clear" w:color="000000" w:fill="FFFFFF"/>
            <w:noWrap/>
            <w:vAlign w:val="center"/>
            <w:hideMark/>
          </w:tcPr>
          <w:p w14:paraId="024E0945"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32,221.00 </w:t>
            </w:r>
          </w:p>
        </w:tc>
        <w:tc>
          <w:tcPr>
            <w:tcW w:w="1407" w:type="dxa"/>
            <w:tcBorders>
              <w:top w:val="nil"/>
              <w:left w:val="nil"/>
              <w:bottom w:val="single" w:sz="4" w:space="0" w:color="auto"/>
              <w:right w:val="single" w:sz="4" w:space="0" w:color="auto"/>
            </w:tcBorders>
            <w:shd w:val="clear" w:color="000000" w:fill="FFFFFF"/>
            <w:noWrap/>
            <w:vAlign w:val="center"/>
            <w:hideMark/>
          </w:tcPr>
          <w:p w14:paraId="06C65C8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25,036.00 </w:t>
            </w:r>
          </w:p>
        </w:tc>
        <w:tc>
          <w:tcPr>
            <w:tcW w:w="1407" w:type="dxa"/>
            <w:tcBorders>
              <w:top w:val="nil"/>
              <w:left w:val="nil"/>
              <w:bottom w:val="single" w:sz="4" w:space="0" w:color="auto"/>
              <w:right w:val="single" w:sz="4" w:space="0" w:color="auto"/>
            </w:tcBorders>
            <w:shd w:val="clear" w:color="000000" w:fill="FFFFFF"/>
            <w:noWrap/>
            <w:vAlign w:val="center"/>
            <w:hideMark/>
          </w:tcPr>
          <w:p w14:paraId="02D7A2CD"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18,060.00 </w:t>
            </w:r>
          </w:p>
        </w:tc>
        <w:tc>
          <w:tcPr>
            <w:tcW w:w="1407" w:type="dxa"/>
            <w:tcBorders>
              <w:top w:val="nil"/>
              <w:left w:val="nil"/>
              <w:bottom w:val="single" w:sz="4" w:space="0" w:color="auto"/>
              <w:right w:val="single" w:sz="4" w:space="0" w:color="auto"/>
            </w:tcBorders>
            <w:shd w:val="clear" w:color="000000" w:fill="FFFFFF"/>
            <w:noWrap/>
            <w:vAlign w:val="center"/>
            <w:hideMark/>
          </w:tcPr>
          <w:p w14:paraId="258D4617"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18,060.00 </w:t>
            </w:r>
          </w:p>
        </w:tc>
        <w:tc>
          <w:tcPr>
            <w:tcW w:w="1407" w:type="dxa"/>
            <w:tcBorders>
              <w:top w:val="nil"/>
              <w:left w:val="nil"/>
              <w:bottom w:val="single" w:sz="4" w:space="0" w:color="auto"/>
              <w:right w:val="single" w:sz="4" w:space="0" w:color="auto"/>
            </w:tcBorders>
            <w:shd w:val="clear" w:color="000000" w:fill="FFFFFF"/>
            <w:noWrap/>
            <w:vAlign w:val="center"/>
            <w:hideMark/>
          </w:tcPr>
          <w:p w14:paraId="37C6B0B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7,781.00 </w:t>
            </w:r>
          </w:p>
        </w:tc>
        <w:tc>
          <w:tcPr>
            <w:tcW w:w="1407" w:type="dxa"/>
            <w:tcBorders>
              <w:top w:val="nil"/>
              <w:left w:val="nil"/>
              <w:bottom w:val="single" w:sz="4" w:space="0" w:color="auto"/>
              <w:right w:val="single" w:sz="4" w:space="0" w:color="auto"/>
            </w:tcBorders>
            <w:shd w:val="clear" w:color="000000" w:fill="FFFFFF"/>
            <w:noWrap/>
            <w:vAlign w:val="center"/>
            <w:hideMark/>
          </w:tcPr>
          <w:p w14:paraId="5C75FD39"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7,781.00 </w:t>
            </w:r>
          </w:p>
        </w:tc>
        <w:tc>
          <w:tcPr>
            <w:tcW w:w="1572" w:type="dxa"/>
            <w:tcBorders>
              <w:top w:val="nil"/>
              <w:left w:val="nil"/>
              <w:bottom w:val="single" w:sz="4" w:space="0" w:color="auto"/>
              <w:right w:val="single" w:sz="4" w:space="0" w:color="auto"/>
            </w:tcBorders>
            <w:shd w:val="clear" w:color="000000" w:fill="FFFFFF"/>
            <w:noWrap/>
            <w:vAlign w:val="center"/>
            <w:hideMark/>
          </w:tcPr>
          <w:p w14:paraId="35805C02"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7,781.00 </w:t>
            </w:r>
          </w:p>
        </w:tc>
        <w:tc>
          <w:tcPr>
            <w:tcW w:w="1434" w:type="dxa"/>
            <w:tcBorders>
              <w:top w:val="nil"/>
              <w:left w:val="nil"/>
              <w:bottom w:val="single" w:sz="4" w:space="0" w:color="auto"/>
              <w:right w:val="single" w:sz="4" w:space="0" w:color="auto"/>
            </w:tcBorders>
            <w:shd w:val="clear" w:color="000000" w:fill="FFFFFF"/>
            <w:noWrap/>
            <w:vAlign w:val="center"/>
            <w:hideMark/>
          </w:tcPr>
          <w:p w14:paraId="18568C93"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7,781.00 </w:t>
            </w:r>
          </w:p>
        </w:tc>
        <w:tc>
          <w:tcPr>
            <w:tcW w:w="1434" w:type="dxa"/>
            <w:tcBorders>
              <w:top w:val="nil"/>
              <w:left w:val="nil"/>
              <w:bottom w:val="single" w:sz="4" w:space="0" w:color="auto"/>
              <w:right w:val="single" w:sz="4" w:space="0" w:color="auto"/>
            </w:tcBorders>
            <w:shd w:val="clear" w:color="000000" w:fill="FFFFFF"/>
            <w:noWrap/>
            <w:vAlign w:val="center"/>
            <w:hideMark/>
          </w:tcPr>
          <w:p w14:paraId="4B5BA0B1"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7,781.00 </w:t>
            </w:r>
          </w:p>
        </w:tc>
      </w:tr>
      <w:tr w:rsidR="00761FE6" w:rsidRPr="00761FE6" w14:paraId="32FA53F8"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4095037"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1、前期费用</w:t>
            </w:r>
          </w:p>
        </w:tc>
        <w:tc>
          <w:tcPr>
            <w:tcW w:w="1407" w:type="dxa"/>
            <w:tcBorders>
              <w:top w:val="nil"/>
              <w:left w:val="nil"/>
              <w:bottom w:val="single" w:sz="4" w:space="0" w:color="auto"/>
              <w:right w:val="single" w:sz="4" w:space="0" w:color="auto"/>
            </w:tcBorders>
            <w:shd w:val="clear" w:color="000000" w:fill="FFFFFF"/>
            <w:noWrap/>
            <w:vAlign w:val="center"/>
            <w:hideMark/>
          </w:tcPr>
          <w:p w14:paraId="7457008E" w14:textId="77777777" w:rsidR="00761FE6" w:rsidRPr="00761FE6" w:rsidRDefault="00761FE6" w:rsidP="00761FE6">
            <w:pPr>
              <w:jc w:val="center"/>
              <w:rPr>
                <w:rFonts w:ascii="Arial" w:eastAsia="DengXian" w:hAnsi="Arial" w:cs="Arial"/>
                <w:sz w:val="18"/>
                <w:szCs w:val="18"/>
              </w:rPr>
            </w:pPr>
            <w:r w:rsidRPr="00761FE6">
              <w:rPr>
                <w:rFonts w:ascii="Arial" w:eastAsia="DengXian" w:hAnsi="Arial" w:cs="Arial"/>
                <w:sz w:val="18"/>
                <w:szCs w:val="18"/>
              </w:rPr>
              <w:t xml:space="preserve"> 7,713.00 </w:t>
            </w:r>
          </w:p>
        </w:tc>
        <w:tc>
          <w:tcPr>
            <w:tcW w:w="1407" w:type="dxa"/>
            <w:tcBorders>
              <w:top w:val="nil"/>
              <w:left w:val="nil"/>
              <w:bottom w:val="single" w:sz="4" w:space="0" w:color="auto"/>
              <w:right w:val="single" w:sz="4" w:space="0" w:color="auto"/>
            </w:tcBorders>
            <w:shd w:val="clear" w:color="auto" w:fill="auto"/>
            <w:noWrap/>
            <w:vAlign w:val="center"/>
            <w:hideMark/>
          </w:tcPr>
          <w:p w14:paraId="48BD38BA"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2,987.00 </w:t>
            </w:r>
          </w:p>
        </w:tc>
        <w:tc>
          <w:tcPr>
            <w:tcW w:w="1407" w:type="dxa"/>
            <w:tcBorders>
              <w:top w:val="nil"/>
              <w:left w:val="nil"/>
              <w:bottom w:val="single" w:sz="4" w:space="0" w:color="auto"/>
              <w:right w:val="single" w:sz="4" w:space="0" w:color="auto"/>
            </w:tcBorders>
            <w:shd w:val="clear" w:color="000000" w:fill="FFFFFF"/>
            <w:noWrap/>
            <w:vAlign w:val="center"/>
            <w:hideMark/>
          </w:tcPr>
          <w:p w14:paraId="1E361C3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1,149.00 </w:t>
            </w:r>
          </w:p>
        </w:tc>
        <w:tc>
          <w:tcPr>
            <w:tcW w:w="1407" w:type="dxa"/>
            <w:tcBorders>
              <w:top w:val="nil"/>
              <w:left w:val="nil"/>
              <w:bottom w:val="single" w:sz="4" w:space="0" w:color="auto"/>
              <w:right w:val="single" w:sz="4" w:space="0" w:color="auto"/>
            </w:tcBorders>
            <w:shd w:val="clear" w:color="000000" w:fill="FFFFFF"/>
            <w:noWrap/>
            <w:vAlign w:val="center"/>
            <w:hideMark/>
          </w:tcPr>
          <w:p w14:paraId="1CE4A83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1,149.00 </w:t>
            </w:r>
          </w:p>
        </w:tc>
        <w:tc>
          <w:tcPr>
            <w:tcW w:w="1407" w:type="dxa"/>
            <w:tcBorders>
              <w:top w:val="nil"/>
              <w:left w:val="nil"/>
              <w:bottom w:val="single" w:sz="4" w:space="0" w:color="auto"/>
              <w:right w:val="single" w:sz="4" w:space="0" w:color="auto"/>
            </w:tcBorders>
            <w:shd w:val="clear" w:color="000000" w:fill="FFFFFF"/>
            <w:noWrap/>
            <w:vAlign w:val="center"/>
            <w:hideMark/>
          </w:tcPr>
          <w:p w14:paraId="0B154D9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1,214.00 </w:t>
            </w:r>
          </w:p>
        </w:tc>
        <w:tc>
          <w:tcPr>
            <w:tcW w:w="1407" w:type="dxa"/>
            <w:tcBorders>
              <w:top w:val="nil"/>
              <w:left w:val="nil"/>
              <w:bottom w:val="single" w:sz="4" w:space="0" w:color="auto"/>
              <w:right w:val="single" w:sz="4" w:space="0" w:color="auto"/>
            </w:tcBorders>
            <w:shd w:val="clear" w:color="000000" w:fill="FFFFFF"/>
            <w:noWrap/>
            <w:vAlign w:val="center"/>
            <w:hideMark/>
          </w:tcPr>
          <w:p w14:paraId="4B4DB7D9"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1,214.00 </w:t>
            </w:r>
          </w:p>
        </w:tc>
        <w:tc>
          <w:tcPr>
            <w:tcW w:w="1434" w:type="dxa"/>
            <w:tcBorders>
              <w:top w:val="nil"/>
              <w:left w:val="nil"/>
              <w:bottom w:val="single" w:sz="4" w:space="0" w:color="auto"/>
              <w:right w:val="single" w:sz="4" w:space="0" w:color="auto"/>
            </w:tcBorders>
            <w:shd w:val="clear" w:color="000000" w:fill="FFFFFF"/>
            <w:noWrap/>
            <w:vAlign w:val="center"/>
            <w:hideMark/>
          </w:tcPr>
          <w:p w14:paraId="7F92E98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216D1B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07921E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21606B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20B662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A59DD46"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48AA5BE"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26051F4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D8E861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4FBA23C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31C5018E"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4874150E"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2、建安工程费</w:t>
            </w:r>
          </w:p>
        </w:tc>
        <w:tc>
          <w:tcPr>
            <w:tcW w:w="1407" w:type="dxa"/>
            <w:tcBorders>
              <w:top w:val="nil"/>
              <w:left w:val="nil"/>
              <w:bottom w:val="single" w:sz="4" w:space="0" w:color="auto"/>
              <w:right w:val="single" w:sz="4" w:space="0" w:color="auto"/>
            </w:tcBorders>
            <w:shd w:val="clear" w:color="000000" w:fill="FFFFFF"/>
            <w:noWrap/>
            <w:vAlign w:val="center"/>
            <w:hideMark/>
          </w:tcPr>
          <w:p w14:paraId="28588A43" w14:textId="77777777" w:rsidR="00761FE6" w:rsidRPr="00761FE6" w:rsidRDefault="00761FE6" w:rsidP="00761FE6">
            <w:pPr>
              <w:jc w:val="center"/>
              <w:rPr>
                <w:rFonts w:ascii="Arial" w:eastAsia="DengXian" w:hAnsi="Arial" w:cs="Arial"/>
                <w:sz w:val="18"/>
                <w:szCs w:val="18"/>
              </w:rPr>
            </w:pPr>
            <w:r w:rsidRPr="00761FE6">
              <w:rPr>
                <w:rFonts w:ascii="Arial" w:eastAsia="DengXian" w:hAnsi="Arial" w:cs="Arial"/>
                <w:sz w:val="18"/>
                <w:szCs w:val="18"/>
              </w:rPr>
              <w:t xml:space="preserve"> 208,874.00 </w:t>
            </w:r>
          </w:p>
        </w:tc>
        <w:tc>
          <w:tcPr>
            <w:tcW w:w="1407" w:type="dxa"/>
            <w:tcBorders>
              <w:top w:val="nil"/>
              <w:left w:val="nil"/>
              <w:bottom w:val="single" w:sz="4" w:space="0" w:color="auto"/>
              <w:right w:val="single" w:sz="4" w:space="0" w:color="auto"/>
            </w:tcBorders>
            <w:shd w:val="clear" w:color="auto" w:fill="auto"/>
            <w:noWrap/>
            <w:vAlign w:val="center"/>
            <w:hideMark/>
          </w:tcPr>
          <w:p w14:paraId="67BCED7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55EE4F0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6,976.00 </w:t>
            </w:r>
          </w:p>
        </w:tc>
        <w:tc>
          <w:tcPr>
            <w:tcW w:w="1407" w:type="dxa"/>
            <w:tcBorders>
              <w:top w:val="nil"/>
              <w:left w:val="nil"/>
              <w:bottom w:val="single" w:sz="4" w:space="0" w:color="auto"/>
              <w:right w:val="single" w:sz="4" w:space="0" w:color="auto"/>
            </w:tcBorders>
            <w:shd w:val="clear" w:color="000000" w:fill="FFFFFF"/>
            <w:noWrap/>
            <w:vAlign w:val="center"/>
            <w:hideMark/>
          </w:tcPr>
          <w:p w14:paraId="325BDD1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17,255.00 </w:t>
            </w:r>
          </w:p>
        </w:tc>
        <w:tc>
          <w:tcPr>
            <w:tcW w:w="1407" w:type="dxa"/>
            <w:tcBorders>
              <w:top w:val="nil"/>
              <w:left w:val="nil"/>
              <w:bottom w:val="single" w:sz="4" w:space="0" w:color="auto"/>
              <w:right w:val="single" w:sz="4" w:space="0" w:color="auto"/>
            </w:tcBorders>
            <w:shd w:val="clear" w:color="000000" w:fill="FFFFFF"/>
            <w:noWrap/>
            <w:vAlign w:val="center"/>
            <w:hideMark/>
          </w:tcPr>
          <w:p w14:paraId="093CE79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17,255.00 </w:t>
            </w:r>
          </w:p>
        </w:tc>
        <w:tc>
          <w:tcPr>
            <w:tcW w:w="1407" w:type="dxa"/>
            <w:tcBorders>
              <w:top w:val="nil"/>
              <w:left w:val="nil"/>
              <w:bottom w:val="single" w:sz="4" w:space="0" w:color="auto"/>
              <w:right w:val="single" w:sz="4" w:space="0" w:color="auto"/>
            </w:tcBorders>
            <w:shd w:val="clear" w:color="000000" w:fill="FFFFFF"/>
            <w:noWrap/>
            <w:vAlign w:val="center"/>
            <w:hideMark/>
          </w:tcPr>
          <w:p w14:paraId="008D3C7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17,255.00 </w:t>
            </w:r>
          </w:p>
        </w:tc>
        <w:tc>
          <w:tcPr>
            <w:tcW w:w="1434" w:type="dxa"/>
            <w:tcBorders>
              <w:top w:val="nil"/>
              <w:left w:val="nil"/>
              <w:bottom w:val="single" w:sz="4" w:space="0" w:color="auto"/>
              <w:right w:val="single" w:sz="4" w:space="0" w:color="auto"/>
            </w:tcBorders>
            <w:shd w:val="clear" w:color="000000" w:fill="FFFFFF"/>
            <w:noWrap/>
            <w:vAlign w:val="center"/>
            <w:hideMark/>
          </w:tcPr>
          <w:p w14:paraId="4556367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25,036.00 </w:t>
            </w:r>
          </w:p>
        </w:tc>
        <w:tc>
          <w:tcPr>
            <w:tcW w:w="1407" w:type="dxa"/>
            <w:tcBorders>
              <w:top w:val="nil"/>
              <w:left w:val="nil"/>
              <w:bottom w:val="single" w:sz="4" w:space="0" w:color="auto"/>
              <w:right w:val="single" w:sz="4" w:space="0" w:color="auto"/>
            </w:tcBorders>
            <w:shd w:val="clear" w:color="000000" w:fill="FFFFFF"/>
            <w:noWrap/>
            <w:vAlign w:val="center"/>
            <w:hideMark/>
          </w:tcPr>
          <w:p w14:paraId="17744FC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25,036.00 </w:t>
            </w:r>
          </w:p>
        </w:tc>
        <w:tc>
          <w:tcPr>
            <w:tcW w:w="1407" w:type="dxa"/>
            <w:tcBorders>
              <w:top w:val="nil"/>
              <w:left w:val="nil"/>
              <w:bottom w:val="single" w:sz="4" w:space="0" w:color="auto"/>
              <w:right w:val="single" w:sz="4" w:space="0" w:color="auto"/>
            </w:tcBorders>
            <w:shd w:val="clear" w:color="000000" w:fill="FFFFFF"/>
            <w:noWrap/>
            <w:vAlign w:val="center"/>
            <w:hideMark/>
          </w:tcPr>
          <w:p w14:paraId="6425040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25,036.00 </w:t>
            </w:r>
          </w:p>
        </w:tc>
        <w:tc>
          <w:tcPr>
            <w:tcW w:w="1407" w:type="dxa"/>
            <w:tcBorders>
              <w:top w:val="nil"/>
              <w:left w:val="nil"/>
              <w:bottom w:val="single" w:sz="4" w:space="0" w:color="auto"/>
              <w:right w:val="single" w:sz="4" w:space="0" w:color="auto"/>
            </w:tcBorders>
            <w:shd w:val="clear" w:color="000000" w:fill="FFFFFF"/>
            <w:noWrap/>
            <w:vAlign w:val="center"/>
            <w:hideMark/>
          </w:tcPr>
          <w:p w14:paraId="7B180A48"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18,060.00 </w:t>
            </w:r>
          </w:p>
        </w:tc>
        <w:tc>
          <w:tcPr>
            <w:tcW w:w="1407" w:type="dxa"/>
            <w:tcBorders>
              <w:top w:val="nil"/>
              <w:left w:val="nil"/>
              <w:bottom w:val="single" w:sz="4" w:space="0" w:color="auto"/>
              <w:right w:val="single" w:sz="4" w:space="0" w:color="auto"/>
            </w:tcBorders>
            <w:shd w:val="clear" w:color="000000" w:fill="FFFFFF"/>
            <w:noWrap/>
            <w:vAlign w:val="center"/>
            <w:hideMark/>
          </w:tcPr>
          <w:p w14:paraId="644F5D8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18,060.00 </w:t>
            </w:r>
          </w:p>
        </w:tc>
        <w:tc>
          <w:tcPr>
            <w:tcW w:w="1407" w:type="dxa"/>
            <w:tcBorders>
              <w:top w:val="nil"/>
              <w:left w:val="nil"/>
              <w:bottom w:val="single" w:sz="4" w:space="0" w:color="auto"/>
              <w:right w:val="single" w:sz="4" w:space="0" w:color="auto"/>
            </w:tcBorders>
            <w:shd w:val="clear" w:color="000000" w:fill="FFFFFF"/>
            <w:noWrap/>
            <w:vAlign w:val="center"/>
            <w:hideMark/>
          </w:tcPr>
          <w:p w14:paraId="53C3B0C6"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7,781.00 </w:t>
            </w:r>
          </w:p>
        </w:tc>
        <w:tc>
          <w:tcPr>
            <w:tcW w:w="1407" w:type="dxa"/>
            <w:tcBorders>
              <w:top w:val="nil"/>
              <w:left w:val="nil"/>
              <w:bottom w:val="single" w:sz="4" w:space="0" w:color="auto"/>
              <w:right w:val="single" w:sz="4" w:space="0" w:color="auto"/>
            </w:tcBorders>
            <w:shd w:val="clear" w:color="000000" w:fill="FFFFFF"/>
            <w:noWrap/>
            <w:vAlign w:val="center"/>
            <w:hideMark/>
          </w:tcPr>
          <w:p w14:paraId="156186A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7,781.00 </w:t>
            </w:r>
          </w:p>
        </w:tc>
        <w:tc>
          <w:tcPr>
            <w:tcW w:w="1572" w:type="dxa"/>
            <w:tcBorders>
              <w:top w:val="nil"/>
              <w:left w:val="nil"/>
              <w:bottom w:val="single" w:sz="4" w:space="0" w:color="auto"/>
              <w:right w:val="single" w:sz="4" w:space="0" w:color="auto"/>
            </w:tcBorders>
            <w:shd w:val="clear" w:color="000000" w:fill="FFFFFF"/>
            <w:noWrap/>
            <w:vAlign w:val="center"/>
            <w:hideMark/>
          </w:tcPr>
          <w:p w14:paraId="59769B2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7,781.00 </w:t>
            </w:r>
          </w:p>
        </w:tc>
        <w:tc>
          <w:tcPr>
            <w:tcW w:w="1434" w:type="dxa"/>
            <w:tcBorders>
              <w:top w:val="nil"/>
              <w:left w:val="nil"/>
              <w:bottom w:val="single" w:sz="4" w:space="0" w:color="auto"/>
              <w:right w:val="single" w:sz="4" w:space="0" w:color="auto"/>
            </w:tcBorders>
            <w:shd w:val="clear" w:color="000000" w:fill="FFFFFF"/>
            <w:noWrap/>
            <w:vAlign w:val="center"/>
            <w:hideMark/>
          </w:tcPr>
          <w:p w14:paraId="362A86F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7,781.00 </w:t>
            </w:r>
          </w:p>
        </w:tc>
        <w:tc>
          <w:tcPr>
            <w:tcW w:w="1434" w:type="dxa"/>
            <w:tcBorders>
              <w:top w:val="nil"/>
              <w:left w:val="nil"/>
              <w:bottom w:val="single" w:sz="4" w:space="0" w:color="auto"/>
              <w:right w:val="single" w:sz="4" w:space="0" w:color="auto"/>
            </w:tcBorders>
            <w:shd w:val="clear" w:color="000000" w:fill="FFFFFF"/>
            <w:noWrap/>
            <w:vAlign w:val="center"/>
            <w:hideMark/>
          </w:tcPr>
          <w:p w14:paraId="1887EE1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7,781.00 </w:t>
            </w:r>
          </w:p>
        </w:tc>
      </w:tr>
      <w:tr w:rsidR="00761FE6" w:rsidRPr="00761FE6" w14:paraId="22B1F024"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DD97655" w14:textId="77777777" w:rsidR="00761FE6" w:rsidRPr="00761FE6" w:rsidRDefault="00761FE6" w:rsidP="00761FE6">
            <w:pPr>
              <w:rPr>
                <w:rFonts w:ascii="微软雅黑" w:eastAsia="微软雅黑" w:hAnsi="微软雅黑"/>
                <w:color w:val="000000"/>
                <w:sz w:val="18"/>
                <w:szCs w:val="18"/>
              </w:rPr>
            </w:pPr>
            <w:r w:rsidRPr="00761FE6">
              <w:rPr>
                <w:rFonts w:ascii="微软雅黑" w:eastAsia="微软雅黑" w:hAnsi="微软雅黑" w:hint="eastAsia"/>
                <w:color w:val="000000"/>
                <w:sz w:val="18"/>
                <w:szCs w:val="18"/>
              </w:rPr>
              <w:t>3、市政基础设施费</w:t>
            </w:r>
          </w:p>
        </w:tc>
        <w:tc>
          <w:tcPr>
            <w:tcW w:w="1407" w:type="dxa"/>
            <w:tcBorders>
              <w:top w:val="nil"/>
              <w:left w:val="nil"/>
              <w:bottom w:val="single" w:sz="4" w:space="0" w:color="auto"/>
              <w:right w:val="single" w:sz="4" w:space="0" w:color="auto"/>
            </w:tcBorders>
            <w:shd w:val="clear" w:color="000000" w:fill="FFFFFF"/>
            <w:noWrap/>
            <w:vAlign w:val="center"/>
            <w:hideMark/>
          </w:tcPr>
          <w:p w14:paraId="4A9D7B3D" w14:textId="77777777" w:rsidR="00761FE6" w:rsidRPr="00761FE6" w:rsidRDefault="00761FE6" w:rsidP="00761FE6">
            <w:pPr>
              <w:jc w:val="center"/>
              <w:rPr>
                <w:rFonts w:ascii="Arial" w:eastAsia="DengXian" w:hAnsi="Arial" w:cs="Arial"/>
                <w:sz w:val="18"/>
                <w:szCs w:val="18"/>
              </w:rPr>
            </w:pPr>
            <w:r w:rsidRPr="00761FE6">
              <w:rPr>
                <w:rFonts w:ascii="Arial" w:eastAsia="DengXian" w:hAnsi="Arial" w:cs="Arial"/>
                <w:sz w:val="18"/>
                <w:szCs w:val="18"/>
              </w:rPr>
              <w:t xml:space="preserve"> 57,297.00 </w:t>
            </w:r>
          </w:p>
        </w:tc>
        <w:tc>
          <w:tcPr>
            <w:tcW w:w="1407" w:type="dxa"/>
            <w:tcBorders>
              <w:top w:val="nil"/>
              <w:left w:val="nil"/>
              <w:bottom w:val="single" w:sz="4" w:space="0" w:color="auto"/>
              <w:right w:val="single" w:sz="4" w:space="0" w:color="auto"/>
            </w:tcBorders>
            <w:shd w:val="clear" w:color="auto" w:fill="auto"/>
            <w:noWrap/>
            <w:vAlign w:val="center"/>
            <w:hideMark/>
          </w:tcPr>
          <w:p w14:paraId="168D9D6B"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4,957.00 </w:t>
            </w:r>
          </w:p>
        </w:tc>
        <w:tc>
          <w:tcPr>
            <w:tcW w:w="1407" w:type="dxa"/>
            <w:tcBorders>
              <w:top w:val="nil"/>
              <w:left w:val="nil"/>
              <w:bottom w:val="single" w:sz="4" w:space="0" w:color="auto"/>
              <w:right w:val="single" w:sz="4" w:space="0" w:color="auto"/>
            </w:tcBorders>
            <w:shd w:val="clear" w:color="000000" w:fill="FFFFFF"/>
            <w:noWrap/>
            <w:vAlign w:val="center"/>
            <w:hideMark/>
          </w:tcPr>
          <w:p w14:paraId="51DCC59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11,914.00 </w:t>
            </w:r>
          </w:p>
        </w:tc>
        <w:tc>
          <w:tcPr>
            <w:tcW w:w="1407" w:type="dxa"/>
            <w:tcBorders>
              <w:top w:val="nil"/>
              <w:left w:val="nil"/>
              <w:bottom w:val="single" w:sz="4" w:space="0" w:color="auto"/>
              <w:right w:val="single" w:sz="4" w:space="0" w:color="auto"/>
            </w:tcBorders>
            <w:shd w:val="clear" w:color="000000" w:fill="FFFFFF"/>
            <w:noWrap/>
            <w:vAlign w:val="center"/>
            <w:hideMark/>
          </w:tcPr>
          <w:p w14:paraId="1D94589E"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11,914.00 </w:t>
            </w:r>
          </w:p>
        </w:tc>
        <w:tc>
          <w:tcPr>
            <w:tcW w:w="1407" w:type="dxa"/>
            <w:tcBorders>
              <w:top w:val="nil"/>
              <w:left w:val="nil"/>
              <w:bottom w:val="single" w:sz="4" w:space="0" w:color="auto"/>
              <w:right w:val="single" w:sz="4" w:space="0" w:color="auto"/>
            </w:tcBorders>
            <w:shd w:val="clear" w:color="000000" w:fill="FFFFFF"/>
            <w:noWrap/>
            <w:vAlign w:val="center"/>
            <w:hideMark/>
          </w:tcPr>
          <w:p w14:paraId="5F18726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6,957.00 </w:t>
            </w:r>
          </w:p>
        </w:tc>
        <w:tc>
          <w:tcPr>
            <w:tcW w:w="1407" w:type="dxa"/>
            <w:tcBorders>
              <w:top w:val="nil"/>
              <w:left w:val="nil"/>
              <w:bottom w:val="single" w:sz="4" w:space="0" w:color="auto"/>
              <w:right w:val="single" w:sz="4" w:space="0" w:color="auto"/>
            </w:tcBorders>
            <w:shd w:val="clear" w:color="000000" w:fill="FFFFFF"/>
            <w:noWrap/>
            <w:vAlign w:val="center"/>
            <w:hideMark/>
          </w:tcPr>
          <w:p w14:paraId="47EA8EF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7,185.00 </w:t>
            </w:r>
          </w:p>
        </w:tc>
        <w:tc>
          <w:tcPr>
            <w:tcW w:w="1434" w:type="dxa"/>
            <w:tcBorders>
              <w:top w:val="nil"/>
              <w:left w:val="nil"/>
              <w:bottom w:val="single" w:sz="4" w:space="0" w:color="auto"/>
              <w:right w:val="single" w:sz="4" w:space="0" w:color="auto"/>
            </w:tcBorders>
            <w:shd w:val="clear" w:color="000000" w:fill="FFFFFF"/>
            <w:noWrap/>
            <w:vAlign w:val="center"/>
            <w:hideMark/>
          </w:tcPr>
          <w:p w14:paraId="0C7AC178"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7,185.00 </w:t>
            </w:r>
          </w:p>
        </w:tc>
        <w:tc>
          <w:tcPr>
            <w:tcW w:w="1407" w:type="dxa"/>
            <w:tcBorders>
              <w:top w:val="nil"/>
              <w:left w:val="nil"/>
              <w:bottom w:val="single" w:sz="4" w:space="0" w:color="auto"/>
              <w:right w:val="single" w:sz="4" w:space="0" w:color="auto"/>
            </w:tcBorders>
            <w:shd w:val="clear" w:color="000000" w:fill="FFFFFF"/>
            <w:noWrap/>
            <w:vAlign w:val="center"/>
            <w:hideMark/>
          </w:tcPr>
          <w:p w14:paraId="5C5CCD1E"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7,185.00 </w:t>
            </w:r>
          </w:p>
        </w:tc>
        <w:tc>
          <w:tcPr>
            <w:tcW w:w="1407" w:type="dxa"/>
            <w:tcBorders>
              <w:top w:val="nil"/>
              <w:left w:val="nil"/>
              <w:bottom w:val="single" w:sz="4" w:space="0" w:color="auto"/>
              <w:right w:val="single" w:sz="4" w:space="0" w:color="auto"/>
            </w:tcBorders>
            <w:shd w:val="clear" w:color="000000" w:fill="FFFFFF"/>
            <w:noWrap/>
            <w:vAlign w:val="center"/>
            <w:hideMark/>
          </w:tcPr>
          <w:p w14:paraId="6F35DE66"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0A1DB7B"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5C6DAAD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640CE6E"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2F3C37B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343234B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051DCE3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637BE2A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r>
      <w:tr w:rsidR="00761FE6" w:rsidRPr="00761FE6" w14:paraId="0F6140A6"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F564AA7"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三、外围绿化、环境</w:t>
            </w:r>
          </w:p>
        </w:tc>
        <w:tc>
          <w:tcPr>
            <w:tcW w:w="1407" w:type="dxa"/>
            <w:tcBorders>
              <w:top w:val="nil"/>
              <w:left w:val="nil"/>
              <w:bottom w:val="single" w:sz="4" w:space="0" w:color="auto"/>
              <w:right w:val="single" w:sz="4" w:space="0" w:color="auto"/>
            </w:tcBorders>
            <w:shd w:val="clear" w:color="000000" w:fill="FFFFFF"/>
            <w:noWrap/>
            <w:vAlign w:val="center"/>
            <w:hideMark/>
          </w:tcPr>
          <w:p w14:paraId="4C7ABDA3" w14:textId="77777777" w:rsidR="00761FE6" w:rsidRPr="00761FE6" w:rsidRDefault="00761FE6" w:rsidP="00761FE6">
            <w:pPr>
              <w:jc w:val="center"/>
              <w:rPr>
                <w:rFonts w:ascii="Arial" w:eastAsia="DengXian" w:hAnsi="Arial" w:cs="Arial"/>
                <w:sz w:val="18"/>
                <w:szCs w:val="18"/>
              </w:rPr>
            </w:pPr>
            <w:r w:rsidRPr="00761FE6">
              <w:rPr>
                <w:rFonts w:ascii="Arial" w:eastAsia="DengXian" w:hAnsi="Arial" w:cs="Arial"/>
                <w:sz w:val="18"/>
                <w:szCs w:val="18"/>
              </w:rPr>
              <w:t xml:space="preserve"> 39,000.00 </w:t>
            </w:r>
          </w:p>
        </w:tc>
        <w:tc>
          <w:tcPr>
            <w:tcW w:w="1407" w:type="dxa"/>
            <w:tcBorders>
              <w:top w:val="nil"/>
              <w:left w:val="nil"/>
              <w:bottom w:val="single" w:sz="4" w:space="0" w:color="auto"/>
              <w:right w:val="single" w:sz="4" w:space="0" w:color="auto"/>
            </w:tcBorders>
            <w:shd w:val="clear" w:color="auto" w:fill="auto"/>
            <w:noWrap/>
            <w:vAlign w:val="center"/>
            <w:hideMark/>
          </w:tcPr>
          <w:p w14:paraId="1BC9EF4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2CEE5C0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6,250.00 </w:t>
            </w:r>
          </w:p>
        </w:tc>
        <w:tc>
          <w:tcPr>
            <w:tcW w:w="1407" w:type="dxa"/>
            <w:tcBorders>
              <w:top w:val="nil"/>
              <w:left w:val="nil"/>
              <w:bottom w:val="single" w:sz="4" w:space="0" w:color="auto"/>
              <w:right w:val="single" w:sz="4" w:space="0" w:color="auto"/>
            </w:tcBorders>
            <w:shd w:val="clear" w:color="000000" w:fill="FFFFFF"/>
            <w:noWrap/>
            <w:vAlign w:val="center"/>
            <w:hideMark/>
          </w:tcPr>
          <w:p w14:paraId="4F4E3AF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6,250.00 </w:t>
            </w:r>
          </w:p>
        </w:tc>
        <w:tc>
          <w:tcPr>
            <w:tcW w:w="1407" w:type="dxa"/>
            <w:tcBorders>
              <w:top w:val="nil"/>
              <w:left w:val="nil"/>
              <w:bottom w:val="single" w:sz="4" w:space="0" w:color="auto"/>
              <w:right w:val="single" w:sz="4" w:space="0" w:color="auto"/>
            </w:tcBorders>
            <w:shd w:val="clear" w:color="000000" w:fill="FFFFFF"/>
            <w:noWrap/>
            <w:vAlign w:val="center"/>
            <w:hideMark/>
          </w:tcPr>
          <w:p w14:paraId="0738B9DA"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6,250.00 </w:t>
            </w:r>
          </w:p>
        </w:tc>
        <w:tc>
          <w:tcPr>
            <w:tcW w:w="1407" w:type="dxa"/>
            <w:tcBorders>
              <w:top w:val="nil"/>
              <w:left w:val="nil"/>
              <w:bottom w:val="single" w:sz="4" w:space="0" w:color="auto"/>
              <w:right w:val="single" w:sz="4" w:space="0" w:color="auto"/>
            </w:tcBorders>
            <w:shd w:val="clear" w:color="000000" w:fill="FFFFFF"/>
            <w:noWrap/>
            <w:vAlign w:val="center"/>
            <w:hideMark/>
          </w:tcPr>
          <w:p w14:paraId="263E827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6,250.00 </w:t>
            </w:r>
          </w:p>
        </w:tc>
        <w:tc>
          <w:tcPr>
            <w:tcW w:w="1434" w:type="dxa"/>
            <w:tcBorders>
              <w:top w:val="nil"/>
              <w:left w:val="nil"/>
              <w:bottom w:val="single" w:sz="4" w:space="0" w:color="auto"/>
              <w:right w:val="single" w:sz="4" w:space="0" w:color="auto"/>
            </w:tcBorders>
            <w:shd w:val="clear" w:color="000000" w:fill="FFFFFF"/>
            <w:noWrap/>
            <w:vAlign w:val="center"/>
            <w:hideMark/>
          </w:tcPr>
          <w:p w14:paraId="471EDCE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60D581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8F86F53"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DD3933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3,000.00 </w:t>
            </w:r>
          </w:p>
        </w:tc>
        <w:tc>
          <w:tcPr>
            <w:tcW w:w="1407" w:type="dxa"/>
            <w:tcBorders>
              <w:top w:val="nil"/>
              <w:left w:val="nil"/>
              <w:bottom w:val="single" w:sz="4" w:space="0" w:color="auto"/>
              <w:right w:val="single" w:sz="4" w:space="0" w:color="auto"/>
            </w:tcBorders>
            <w:shd w:val="clear" w:color="000000" w:fill="FFFFFF"/>
            <w:noWrap/>
            <w:vAlign w:val="center"/>
            <w:hideMark/>
          </w:tcPr>
          <w:p w14:paraId="38C4DEC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3A2908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5,500.00 </w:t>
            </w:r>
          </w:p>
        </w:tc>
        <w:tc>
          <w:tcPr>
            <w:tcW w:w="1407" w:type="dxa"/>
            <w:tcBorders>
              <w:top w:val="nil"/>
              <w:left w:val="nil"/>
              <w:bottom w:val="single" w:sz="4" w:space="0" w:color="auto"/>
              <w:right w:val="single" w:sz="4" w:space="0" w:color="auto"/>
            </w:tcBorders>
            <w:shd w:val="clear" w:color="000000" w:fill="FFFFFF"/>
            <w:noWrap/>
            <w:vAlign w:val="center"/>
            <w:hideMark/>
          </w:tcPr>
          <w:p w14:paraId="3E8F0234"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572" w:type="dxa"/>
            <w:tcBorders>
              <w:top w:val="nil"/>
              <w:left w:val="nil"/>
              <w:bottom w:val="single" w:sz="4" w:space="0" w:color="auto"/>
              <w:right w:val="single" w:sz="4" w:space="0" w:color="auto"/>
            </w:tcBorders>
            <w:shd w:val="clear" w:color="000000" w:fill="FFFFFF"/>
            <w:noWrap/>
            <w:vAlign w:val="center"/>
            <w:hideMark/>
          </w:tcPr>
          <w:p w14:paraId="0F544E40"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04A9A0F"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3904FCC1"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5,500.00 </w:t>
            </w:r>
          </w:p>
        </w:tc>
      </w:tr>
      <w:tr w:rsidR="00761FE6" w:rsidRPr="00761FE6" w14:paraId="1EDAA8AE"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20F9CD30"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四、开发间接费</w:t>
            </w:r>
          </w:p>
        </w:tc>
        <w:tc>
          <w:tcPr>
            <w:tcW w:w="1407" w:type="dxa"/>
            <w:tcBorders>
              <w:top w:val="nil"/>
              <w:left w:val="nil"/>
              <w:bottom w:val="single" w:sz="4" w:space="0" w:color="auto"/>
              <w:right w:val="single" w:sz="4" w:space="0" w:color="auto"/>
            </w:tcBorders>
            <w:shd w:val="clear" w:color="000000" w:fill="FFFFFF"/>
            <w:noWrap/>
            <w:vAlign w:val="center"/>
            <w:hideMark/>
          </w:tcPr>
          <w:p w14:paraId="2A417CB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4,224.00 </w:t>
            </w:r>
          </w:p>
        </w:tc>
        <w:tc>
          <w:tcPr>
            <w:tcW w:w="1407" w:type="dxa"/>
            <w:tcBorders>
              <w:top w:val="nil"/>
              <w:left w:val="nil"/>
              <w:bottom w:val="single" w:sz="4" w:space="0" w:color="auto"/>
              <w:right w:val="single" w:sz="4" w:space="0" w:color="auto"/>
            </w:tcBorders>
            <w:shd w:val="clear" w:color="auto" w:fill="auto"/>
            <w:noWrap/>
            <w:vAlign w:val="center"/>
            <w:hideMark/>
          </w:tcPr>
          <w:p w14:paraId="2D5A168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148.00 </w:t>
            </w:r>
          </w:p>
        </w:tc>
        <w:tc>
          <w:tcPr>
            <w:tcW w:w="1407" w:type="dxa"/>
            <w:tcBorders>
              <w:top w:val="nil"/>
              <w:left w:val="nil"/>
              <w:bottom w:val="single" w:sz="4" w:space="0" w:color="auto"/>
              <w:right w:val="single" w:sz="4" w:space="0" w:color="auto"/>
            </w:tcBorders>
            <w:shd w:val="clear" w:color="000000" w:fill="FFFFFF"/>
            <w:noWrap/>
            <w:vAlign w:val="center"/>
            <w:hideMark/>
          </w:tcPr>
          <w:p w14:paraId="741F0CA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148.00 </w:t>
            </w:r>
          </w:p>
        </w:tc>
        <w:tc>
          <w:tcPr>
            <w:tcW w:w="1407" w:type="dxa"/>
            <w:tcBorders>
              <w:top w:val="nil"/>
              <w:left w:val="nil"/>
              <w:bottom w:val="single" w:sz="4" w:space="0" w:color="auto"/>
              <w:right w:val="single" w:sz="4" w:space="0" w:color="auto"/>
            </w:tcBorders>
            <w:shd w:val="clear" w:color="000000" w:fill="FFFFFF"/>
            <w:noWrap/>
            <w:vAlign w:val="center"/>
            <w:hideMark/>
          </w:tcPr>
          <w:p w14:paraId="6635A48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323.00 </w:t>
            </w:r>
          </w:p>
        </w:tc>
        <w:tc>
          <w:tcPr>
            <w:tcW w:w="1407" w:type="dxa"/>
            <w:tcBorders>
              <w:top w:val="nil"/>
              <w:left w:val="nil"/>
              <w:bottom w:val="single" w:sz="4" w:space="0" w:color="auto"/>
              <w:right w:val="single" w:sz="4" w:space="0" w:color="auto"/>
            </w:tcBorders>
            <w:shd w:val="clear" w:color="000000" w:fill="FFFFFF"/>
            <w:noWrap/>
            <w:vAlign w:val="center"/>
            <w:hideMark/>
          </w:tcPr>
          <w:p w14:paraId="32F4E57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323.00 </w:t>
            </w:r>
          </w:p>
        </w:tc>
        <w:tc>
          <w:tcPr>
            <w:tcW w:w="1407" w:type="dxa"/>
            <w:tcBorders>
              <w:top w:val="nil"/>
              <w:left w:val="nil"/>
              <w:bottom w:val="single" w:sz="4" w:space="0" w:color="auto"/>
              <w:right w:val="single" w:sz="4" w:space="0" w:color="auto"/>
            </w:tcBorders>
            <w:shd w:val="clear" w:color="000000" w:fill="FFFFFF"/>
            <w:noWrap/>
            <w:vAlign w:val="center"/>
            <w:hideMark/>
          </w:tcPr>
          <w:p w14:paraId="7814090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323.00 </w:t>
            </w:r>
          </w:p>
        </w:tc>
        <w:tc>
          <w:tcPr>
            <w:tcW w:w="1434" w:type="dxa"/>
            <w:tcBorders>
              <w:top w:val="nil"/>
              <w:left w:val="nil"/>
              <w:bottom w:val="single" w:sz="4" w:space="0" w:color="auto"/>
              <w:right w:val="single" w:sz="4" w:space="0" w:color="auto"/>
            </w:tcBorders>
            <w:shd w:val="clear" w:color="000000" w:fill="FFFFFF"/>
            <w:noWrap/>
            <w:vAlign w:val="center"/>
            <w:hideMark/>
          </w:tcPr>
          <w:p w14:paraId="33AC3D7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487.00 </w:t>
            </w:r>
          </w:p>
        </w:tc>
        <w:tc>
          <w:tcPr>
            <w:tcW w:w="1407" w:type="dxa"/>
            <w:tcBorders>
              <w:top w:val="nil"/>
              <w:left w:val="nil"/>
              <w:bottom w:val="single" w:sz="4" w:space="0" w:color="auto"/>
              <w:right w:val="single" w:sz="4" w:space="0" w:color="auto"/>
            </w:tcBorders>
            <w:shd w:val="clear" w:color="000000" w:fill="FFFFFF"/>
            <w:noWrap/>
            <w:vAlign w:val="center"/>
            <w:hideMark/>
          </w:tcPr>
          <w:p w14:paraId="71BF074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487.00 </w:t>
            </w:r>
          </w:p>
        </w:tc>
        <w:tc>
          <w:tcPr>
            <w:tcW w:w="1407" w:type="dxa"/>
            <w:tcBorders>
              <w:top w:val="nil"/>
              <w:left w:val="nil"/>
              <w:bottom w:val="single" w:sz="4" w:space="0" w:color="auto"/>
              <w:right w:val="single" w:sz="4" w:space="0" w:color="auto"/>
            </w:tcBorders>
            <w:shd w:val="clear" w:color="000000" w:fill="FFFFFF"/>
            <w:noWrap/>
            <w:vAlign w:val="center"/>
            <w:hideMark/>
          </w:tcPr>
          <w:p w14:paraId="4886EAB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487.00 </w:t>
            </w:r>
          </w:p>
        </w:tc>
        <w:tc>
          <w:tcPr>
            <w:tcW w:w="1407" w:type="dxa"/>
            <w:tcBorders>
              <w:top w:val="nil"/>
              <w:left w:val="nil"/>
              <w:bottom w:val="single" w:sz="4" w:space="0" w:color="auto"/>
              <w:right w:val="single" w:sz="4" w:space="0" w:color="auto"/>
            </w:tcBorders>
            <w:shd w:val="clear" w:color="000000" w:fill="FFFFFF"/>
            <w:noWrap/>
            <w:vAlign w:val="center"/>
            <w:hideMark/>
          </w:tcPr>
          <w:p w14:paraId="7AE8141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339.00 </w:t>
            </w:r>
          </w:p>
        </w:tc>
        <w:tc>
          <w:tcPr>
            <w:tcW w:w="1407" w:type="dxa"/>
            <w:tcBorders>
              <w:top w:val="nil"/>
              <w:left w:val="nil"/>
              <w:bottom w:val="single" w:sz="4" w:space="0" w:color="auto"/>
              <w:right w:val="single" w:sz="4" w:space="0" w:color="auto"/>
            </w:tcBorders>
            <w:shd w:val="clear" w:color="000000" w:fill="FFFFFF"/>
            <w:noWrap/>
            <w:vAlign w:val="center"/>
            <w:hideMark/>
          </w:tcPr>
          <w:p w14:paraId="3458E3B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339.00 </w:t>
            </w:r>
          </w:p>
        </w:tc>
        <w:tc>
          <w:tcPr>
            <w:tcW w:w="1407" w:type="dxa"/>
            <w:tcBorders>
              <w:top w:val="nil"/>
              <w:left w:val="nil"/>
              <w:bottom w:val="single" w:sz="4" w:space="0" w:color="auto"/>
              <w:right w:val="single" w:sz="4" w:space="0" w:color="auto"/>
            </w:tcBorders>
            <w:shd w:val="clear" w:color="000000" w:fill="FFFFFF"/>
            <w:noWrap/>
            <w:vAlign w:val="center"/>
            <w:hideMark/>
          </w:tcPr>
          <w:p w14:paraId="5123F60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164.00 </w:t>
            </w:r>
          </w:p>
        </w:tc>
        <w:tc>
          <w:tcPr>
            <w:tcW w:w="1407" w:type="dxa"/>
            <w:tcBorders>
              <w:top w:val="nil"/>
              <w:left w:val="nil"/>
              <w:bottom w:val="single" w:sz="4" w:space="0" w:color="auto"/>
              <w:right w:val="single" w:sz="4" w:space="0" w:color="auto"/>
            </w:tcBorders>
            <w:shd w:val="clear" w:color="000000" w:fill="FFFFFF"/>
            <w:noWrap/>
            <w:vAlign w:val="center"/>
            <w:hideMark/>
          </w:tcPr>
          <w:p w14:paraId="6BA19C7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164.00 </w:t>
            </w:r>
          </w:p>
        </w:tc>
        <w:tc>
          <w:tcPr>
            <w:tcW w:w="1572" w:type="dxa"/>
            <w:tcBorders>
              <w:top w:val="nil"/>
              <w:left w:val="nil"/>
              <w:bottom w:val="single" w:sz="4" w:space="0" w:color="auto"/>
              <w:right w:val="single" w:sz="4" w:space="0" w:color="auto"/>
            </w:tcBorders>
            <w:shd w:val="clear" w:color="000000" w:fill="FFFFFF"/>
            <w:noWrap/>
            <w:vAlign w:val="center"/>
            <w:hideMark/>
          </w:tcPr>
          <w:p w14:paraId="31FC771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164.00 </w:t>
            </w:r>
          </w:p>
        </w:tc>
        <w:tc>
          <w:tcPr>
            <w:tcW w:w="1434" w:type="dxa"/>
            <w:tcBorders>
              <w:top w:val="nil"/>
              <w:left w:val="nil"/>
              <w:bottom w:val="single" w:sz="4" w:space="0" w:color="auto"/>
              <w:right w:val="single" w:sz="4" w:space="0" w:color="auto"/>
            </w:tcBorders>
            <w:shd w:val="clear" w:color="000000" w:fill="FFFFFF"/>
            <w:noWrap/>
            <w:vAlign w:val="center"/>
            <w:hideMark/>
          </w:tcPr>
          <w:p w14:paraId="3D71A2E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164.00 </w:t>
            </w:r>
          </w:p>
        </w:tc>
        <w:tc>
          <w:tcPr>
            <w:tcW w:w="1434" w:type="dxa"/>
            <w:tcBorders>
              <w:top w:val="nil"/>
              <w:left w:val="nil"/>
              <w:bottom w:val="single" w:sz="4" w:space="0" w:color="auto"/>
              <w:right w:val="single" w:sz="4" w:space="0" w:color="auto"/>
            </w:tcBorders>
            <w:shd w:val="clear" w:color="000000" w:fill="FFFFFF"/>
            <w:noWrap/>
            <w:vAlign w:val="center"/>
            <w:hideMark/>
          </w:tcPr>
          <w:p w14:paraId="4B83EAF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164.00 </w:t>
            </w:r>
          </w:p>
        </w:tc>
      </w:tr>
      <w:tr w:rsidR="00761FE6" w:rsidRPr="00761FE6" w14:paraId="689EF135"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4585DA9A"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五、销售费用</w:t>
            </w:r>
          </w:p>
        </w:tc>
        <w:tc>
          <w:tcPr>
            <w:tcW w:w="1407" w:type="dxa"/>
            <w:tcBorders>
              <w:top w:val="nil"/>
              <w:left w:val="nil"/>
              <w:bottom w:val="single" w:sz="4" w:space="0" w:color="auto"/>
              <w:right w:val="single" w:sz="4" w:space="0" w:color="auto"/>
            </w:tcBorders>
            <w:shd w:val="clear" w:color="000000" w:fill="FFFFFF"/>
            <w:noWrap/>
            <w:vAlign w:val="center"/>
            <w:hideMark/>
          </w:tcPr>
          <w:p w14:paraId="3B20130C"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12,690.00 </w:t>
            </w:r>
          </w:p>
        </w:tc>
        <w:tc>
          <w:tcPr>
            <w:tcW w:w="1407" w:type="dxa"/>
            <w:tcBorders>
              <w:top w:val="nil"/>
              <w:left w:val="nil"/>
              <w:bottom w:val="single" w:sz="4" w:space="0" w:color="auto"/>
              <w:right w:val="single" w:sz="4" w:space="0" w:color="auto"/>
            </w:tcBorders>
            <w:shd w:val="clear" w:color="auto" w:fill="auto"/>
            <w:noWrap/>
            <w:vAlign w:val="center"/>
            <w:hideMark/>
          </w:tcPr>
          <w:p w14:paraId="588789A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444.00 </w:t>
            </w:r>
          </w:p>
        </w:tc>
        <w:tc>
          <w:tcPr>
            <w:tcW w:w="1407" w:type="dxa"/>
            <w:tcBorders>
              <w:top w:val="nil"/>
              <w:left w:val="nil"/>
              <w:bottom w:val="single" w:sz="4" w:space="0" w:color="auto"/>
              <w:right w:val="single" w:sz="4" w:space="0" w:color="auto"/>
            </w:tcBorders>
            <w:shd w:val="clear" w:color="000000" w:fill="FFFFFF"/>
            <w:noWrap/>
            <w:vAlign w:val="center"/>
            <w:hideMark/>
          </w:tcPr>
          <w:p w14:paraId="62B9954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444.00 </w:t>
            </w:r>
          </w:p>
        </w:tc>
        <w:tc>
          <w:tcPr>
            <w:tcW w:w="1407" w:type="dxa"/>
            <w:tcBorders>
              <w:top w:val="nil"/>
              <w:left w:val="nil"/>
              <w:bottom w:val="single" w:sz="4" w:space="0" w:color="auto"/>
              <w:right w:val="single" w:sz="4" w:space="0" w:color="auto"/>
            </w:tcBorders>
            <w:shd w:val="clear" w:color="000000" w:fill="FFFFFF"/>
            <w:noWrap/>
            <w:vAlign w:val="center"/>
            <w:hideMark/>
          </w:tcPr>
          <w:p w14:paraId="04A0A00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970.00 </w:t>
            </w:r>
          </w:p>
        </w:tc>
        <w:tc>
          <w:tcPr>
            <w:tcW w:w="1407" w:type="dxa"/>
            <w:tcBorders>
              <w:top w:val="nil"/>
              <w:left w:val="nil"/>
              <w:bottom w:val="single" w:sz="4" w:space="0" w:color="auto"/>
              <w:right w:val="single" w:sz="4" w:space="0" w:color="auto"/>
            </w:tcBorders>
            <w:shd w:val="clear" w:color="000000" w:fill="FFFFFF"/>
            <w:noWrap/>
            <w:vAlign w:val="center"/>
            <w:hideMark/>
          </w:tcPr>
          <w:p w14:paraId="21291C1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970.00 </w:t>
            </w:r>
          </w:p>
        </w:tc>
        <w:tc>
          <w:tcPr>
            <w:tcW w:w="1407" w:type="dxa"/>
            <w:tcBorders>
              <w:top w:val="nil"/>
              <w:left w:val="nil"/>
              <w:bottom w:val="single" w:sz="4" w:space="0" w:color="auto"/>
              <w:right w:val="single" w:sz="4" w:space="0" w:color="auto"/>
            </w:tcBorders>
            <w:shd w:val="clear" w:color="000000" w:fill="FFFFFF"/>
            <w:noWrap/>
            <w:vAlign w:val="center"/>
            <w:hideMark/>
          </w:tcPr>
          <w:p w14:paraId="41268FF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970.00 </w:t>
            </w:r>
          </w:p>
        </w:tc>
        <w:tc>
          <w:tcPr>
            <w:tcW w:w="1434" w:type="dxa"/>
            <w:tcBorders>
              <w:top w:val="nil"/>
              <w:left w:val="nil"/>
              <w:bottom w:val="single" w:sz="4" w:space="0" w:color="auto"/>
              <w:right w:val="single" w:sz="4" w:space="0" w:color="auto"/>
            </w:tcBorders>
            <w:shd w:val="clear" w:color="000000" w:fill="FFFFFF"/>
            <w:noWrap/>
            <w:vAlign w:val="center"/>
            <w:hideMark/>
          </w:tcPr>
          <w:p w14:paraId="7F6ED89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1,463.00 </w:t>
            </w:r>
          </w:p>
        </w:tc>
        <w:tc>
          <w:tcPr>
            <w:tcW w:w="1407" w:type="dxa"/>
            <w:tcBorders>
              <w:top w:val="nil"/>
              <w:left w:val="nil"/>
              <w:bottom w:val="single" w:sz="4" w:space="0" w:color="auto"/>
              <w:right w:val="single" w:sz="4" w:space="0" w:color="auto"/>
            </w:tcBorders>
            <w:shd w:val="clear" w:color="000000" w:fill="FFFFFF"/>
            <w:noWrap/>
            <w:vAlign w:val="center"/>
            <w:hideMark/>
          </w:tcPr>
          <w:p w14:paraId="5A78FAF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1,463.00 </w:t>
            </w:r>
          </w:p>
        </w:tc>
        <w:tc>
          <w:tcPr>
            <w:tcW w:w="1407" w:type="dxa"/>
            <w:tcBorders>
              <w:top w:val="nil"/>
              <w:left w:val="nil"/>
              <w:bottom w:val="single" w:sz="4" w:space="0" w:color="auto"/>
              <w:right w:val="single" w:sz="4" w:space="0" w:color="auto"/>
            </w:tcBorders>
            <w:shd w:val="clear" w:color="000000" w:fill="FFFFFF"/>
            <w:noWrap/>
            <w:vAlign w:val="center"/>
            <w:hideMark/>
          </w:tcPr>
          <w:p w14:paraId="6E40C05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1,463.00 </w:t>
            </w:r>
          </w:p>
        </w:tc>
        <w:tc>
          <w:tcPr>
            <w:tcW w:w="1407" w:type="dxa"/>
            <w:tcBorders>
              <w:top w:val="nil"/>
              <w:left w:val="nil"/>
              <w:bottom w:val="single" w:sz="4" w:space="0" w:color="auto"/>
              <w:right w:val="single" w:sz="4" w:space="0" w:color="auto"/>
            </w:tcBorders>
            <w:shd w:val="clear" w:color="000000" w:fill="FFFFFF"/>
            <w:noWrap/>
            <w:vAlign w:val="center"/>
            <w:hideMark/>
          </w:tcPr>
          <w:p w14:paraId="452028B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1,019.00 </w:t>
            </w:r>
          </w:p>
        </w:tc>
        <w:tc>
          <w:tcPr>
            <w:tcW w:w="1407" w:type="dxa"/>
            <w:tcBorders>
              <w:top w:val="nil"/>
              <w:left w:val="nil"/>
              <w:bottom w:val="single" w:sz="4" w:space="0" w:color="auto"/>
              <w:right w:val="single" w:sz="4" w:space="0" w:color="auto"/>
            </w:tcBorders>
            <w:shd w:val="clear" w:color="000000" w:fill="FFFFFF"/>
            <w:noWrap/>
            <w:vAlign w:val="center"/>
            <w:hideMark/>
          </w:tcPr>
          <w:p w14:paraId="7DC7D82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1,019.00 </w:t>
            </w:r>
          </w:p>
        </w:tc>
        <w:tc>
          <w:tcPr>
            <w:tcW w:w="1407" w:type="dxa"/>
            <w:tcBorders>
              <w:top w:val="nil"/>
              <w:left w:val="nil"/>
              <w:bottom w:val="single" w:sz="4" w:space="0" w:color="auto"/>
              <w:right w:val="single" w:sz="4" w:space="0" w:color="auto"/>
            </w:tcBorders>
            <w:shd w:val="clear" w:color="000000" w:fill="FFFFFF"/>
            <w:noWrap/>
            <w:vAlign w:val="center"/>
            <w:hideMark/>
          </w:tcPr>
          <w:p w14:paraId="76BCA69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493.00 </w:t>
            </w:r>
          </w:p>
        </w:tc>
        <w:tc>
          <w:tcPr>
            <w:tcW w:w="1407" w:type="dxa"/>
            <w:tcBorders>
              <w:top w:val="nil"/>
              <w:left w:val="nil"/>
              <w:bottom w:val="single" w:sz="4" w:space="0" w:color="auto"/>
              <w:right w:val="single" w:sz="4" w:space="0" w:color="auto"/>
            </w:tcBorders>
            <w:shd w:val="clear" w:color="000000" w:fill="FFFFFF"/>
            <w:noWrap/>
            <w:vAlign w:val="center"/>
            <w:hideMark/>
          </w:tcPr>
          <w:p w14:paraId="3E50A97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493.00 </w:t>
            </w:r>
          </w:p>
        </w:tc>
        <w:tc>
          <w:tcPr>
            <w:tcW w:w="1572" w:type="dxa"/>
            <w:tcBorders>
              <w:top w:val="nil"/>
              <w:left w:val="nil"/>
              <w:bottom w:val="single" w:sz="4" w:space="0" w:color="auto"/>
              <w:right w:val="single" w:sz="4" w:space="0" w:color="auto"/>
            </w:tcBorders>
            <w:shd w:val="clear" w:color="000000" w:fill="FFFFFF"/>
            <w:noWrap/>
            <w:vAlign w:val="center"/>
            <w:hideMark/>
          </w:tcPr>
          <w:p w14:paraId="3782A26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493.00 </w:t>
            </w:r>
          </w:p>
        </w:tc>
        <w:tc>
          <w:tcPr>
            <w:tcW w:w="1434" w:type="dxa"/>
            <w:tcBorders>
              <w:top w:val="nil"/>
              <w:left w:val="nil"/>
              <w:bottom w:val="single" w:sz="4" w:space="0" w:color="auto"/>
              <w:right w:val="single" w:sz="4" w:space="0" w:color="auto"/>
            </w:tcBorders>
            <w:shd w:val="clear" w:color="000000" w:fill="FFFFFF"/>
            <w:noWrap/>
            <w:vAlign w:val="center"/>
            <w:hideMark/>
          </w:tcPr>
          <w:p w14:paraId="299E527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493.00 </w:t>
            </w:r>
          </w:p>
        </w:tc>
        <w:tc>
          <w:tcPr>
            <w:tcW w:w="1434" w:type="dxa"/>
            <w:tcBorders>
              <w:top w:val="nil"/>
              <w:left w:val="nil"/>
              <w:bottom w:val="single" w:sz="4" w:space="0" w:color="auto"/>
              <w:right w:val="single" w:sz="4" w:space="0" w:color="auto"/>
            </w:tcBorders>
            <w:shd w:val="clear" w:color="000000" w:fill="FFFFFF"/>
            <w:noWrap/>
            <w:vAlign w:val="center"/>
            <w:hideMark/>
          </w:tcPr>
          <w:p w14:paraId="39CF814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493.00 </w:t>
            </w:r>
          </w:p>
        </w:tc>
      </w:tr>
      <w:tr w:rsidR="00761FE6" w:rsidRPr="00761FE6" w14:paraId="7B0BE442"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3498607C"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六、管理费用</w:t>
            </w:r>
          </w:p>
        </w:tc>
        <w:tc>
          <w:tcPr>
            <w:tcW w:w="1407" w:type="dxa"/>
            <w:tcBorders>
              <w:top w:val="nil"/>
              <w:left w:val="nil"/>
              <w:bottom w:val="single" w:sz="4" w:space="0" w:color="auto"/>
              <w:right w:val="single" w:sz="4" w:space="0" w:color="auto"/>
            </w:tcBorders>
            <w:shd w:val="clear" w:color="000000" w:fill="FFFFFF"/>
            <w:noWrap/>
            <w:vAlign w:val="center"/>
            <w:hideMark/>
          </w:tcPr>
          <w:p w14:paraId="54BA53E8"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5,368.00 </w:t>
            </w:r>
          </w:p>
        </w:tc>
        <w:tc>
          <w:tcPr>
            <w:tcW w:w="1407" w:type="dxa"/>
            <w:tcBorders>
              <w:top w:val="nil"/>
              <w:left w:val="nil"/>
              <w:bottom w:val="single" w:sz="4" w:space="0" w:color="auto"/>
              <w:right w:val="single" w:sz="4" w:space="0" w:color="auto"/>
            </w:tcBorders>
            <w:shd w:val="clear" w:color="auto" w:fill="auto"/>
            <w:noWrap/>
            <w:vAlign w:val="center"/>
            <w:hideMark/>
          </w:tcPr>
          <w:p w14:paraId="0B31C37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180.00 </w:t>
            </w:r>
          </w:p>
        </w:tc>
        <w:tc>
          <w:tcPr>
            <w:tcW w:w="1407" w:type="dxa"/>
            <w:tcBorders>
              <w:top w:val="nil"/>
              <w:left w:val="nil"/>
              <w:bottom w:val="single" w:sz="4" w:space="0" w:color="auto"/>
              <w:right w:val="single" w:sz="4" w:space="0" w:color="auto"/>
            </w:tcBorders>
            <w:shd w:val="clear" w:color="000000" w:fill="FFFFFF"/>
            <w:noWrap/>
            <w:vAlign w:val="center"/>
            <w:hideMark/>
          </w:tcPr>
          <w:p w14:paraId="0F24CAC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180.00 </w:t>
            </w:r>
          </w:p>
        </w:tc>
        <w:tc>
          <w:tcPr>
            <w:tcW w:w="1407" w:type="dxa"/>
            <w:tcBorders>
              <w:top w:val="nil"/>
              <w:left w:val="nil"/>
              <w:bottom w:val="single" w:sz="4" w:space="0" w:color="auto"/>
              <w:right w:val="single" w:sz="4" w:space="0" w:color="auto"/>
            </w:tcBorders>
            <w:shd w:val="clear" w:color="000000" w:fill="FFFFFF"/>
            <w:noWrap/>
            <w:vAlign w:val="center"/>
            <w:hideMark/>
          </w:tcPr>
          <w:p w14:paraId="11841B9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406.00 </w:t>
            </w:r>
          </w:p>
        </w:tc>
        <w:tc>
          <w:tcPr>
            <w:tcW w:w="1407" w:type="dxa"/>
            <w:tcBorders>
              <w:top w:val="nil"/>
              <w:left w:val="nil"/>
              <w:bottom w:val="single" w:sz="4" w:space="0" w:color="auto"/>
              <w:right w:val="single" w:sz="4" w:space="0" w:color="auto"/>
            </w:tcBorders>
            <w:shd w:val="clear" w:color="000000" w:fill="FFFFFF"/>
            <w:noWrap/>
            <w:vAlign w:val="center"/>
            <w:hideMark/>
          </w:tcPr>
          <w:p w14:paraId="142468B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406.00 </w:t>
            </w:r>
          </w:p>
        </w:tc>
        <w:tc>
          <w:tcPr>
            <w:tcW w:w="1407" w:type="dxa"/>
            <w:tcBorders>
              <w:top w:val="nil"/>
              <w:left w:val="nil"/>
              <w:bottom w:val="single" w:sz="4" w:space="0" w:color="auto"/>
              <w:right w:val="single" w:sz="4" w:space="0" w:color="auto"/>
            </w:tcBorders>
            <w:shd w:val="clear" w:color="000000" w:fill="FFFFFF"/>
            <w:noWrap/>
            <w:vAlign w:val="center"/>
            <w:hideMark/>
          </w:tcPr>
          <w:p w14:paraId="53D333E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406.00 </w:t>
            </w:r>
          </w:p>
        </w:tc>
        <w:tc>
          <w:tcPr>
            <w:tcW w:w="1434" w:type="dxa"/>
            <w:tcBorders>
              <w:top w:val="nil"/>
              <w:left w:val="nil"/>
              <w:bottom w:val="single" w:sz="4" w:space="0" w:color="auto"/>
              <w:right w:val="single" w:sz="4" w:space="0" w:color="auto"/>
            </w:tcBorders>
            <w:shd w:val="clear" w:color="000000" w:fill="FFFFFF"/>
            <w:noWrap/>
            <w:vAlign w:val="center"/>
            <w:hideMark/>
          </w:tcPr>
          <w:p w14:paraId="687A76C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618.00 </w:t>
            </w:r>
          </w:p>
        </w:tc>
        <w:tc>
          <w:tcPr>
            <w:tcW w:w="1407" w:type="dxa"/>
            <w:tcBorders>
              <w:top w:val="nil"/>
              <w:left w:val="nil"/>
              <w:bottom w:val="single" w:sz="4" w:space="0" w:color="auto"/>
              <w:right w:val="single" w:sz="4" w:space="0" w:color="auto"/>
            </w:tcBorders>
            <w:shd w:val="clear" w:color="000000" w:fill="FFFFFF"/>
            <w:noWrap/>
            <w:vAlign w:val="center"/>
            <w:hideMark/>
          </w:tcPr>
          <w:p w14:paraId="3D2AF4E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618.00 </w:t>
            </w:r>
          </w:p>
        </w:tc>
        <w:tc>
          <w:tcPr>
            <w:tcW w:w="1407" w:type="dxa"/>
            <w:tcBorders>
              <w:top w:val="nil"/>
              <w:left w:val="nil"/>
              <w:bottom w:val="single" w:sz="4" w:space="0" w:color="auto"/>
              <w:right w:val="single" w:sz="4" w:space="0" w:color="auto"/>
            </w:tcBorders>
            <w:shd w:val="clear" w:color="000000" w:fill="FFFFFF"/>
            <w:noWrap/>
            <w:vAlign w:val="center"/>
            <w:hideMark/>
          </w:tcPr>
          <w:p w14:paraId="34010DA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618.00 </w:t>
            </w:r>
          </w:p>
        </w:tc>
        <w:tc>
          <w:tcPr>
            <w:tcW w:w="1407" w:type="dxa"/>
            <w:tcBorders>
              <w:top w:val="nil"/>
              <w:left w:val="nil"/>
              <w:bottom w:val="single" w:sz="4" w:space="0" w:color="auto"/>
              <w:right w:val="single" w:sz="4" w:space="0" w:color="auto"/>
            </w:tcBorders>
            <w:shd w:val="clear" w:color="000000" w:fill="FFFFFF"/>
            <w:noWrap/>
            <w:vAlign w:val="center"/>
            <w:hideMark/>
          </w:tcPr>
          <w:p w14:paraId="2775255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438.00 </w:t>
            </w:r>
          </w:p>
        </w:tc>
        <w:tc>
          <w:tcPr>
            <w:tcW w:w="1407" w:type="dxa"/>
            <w:tcBorders>
              <w:top w:val="nil"/>
              <w:left w:val="nil"/>
              <w:bottom w:val="single" w:sz="4" w:space="0" w:color="auto"/>
              <w:right w:val="single" w:sz="4" w:space="0" w:color="auto"/>
            </w:tcBorders>
            <w:shd w:val="clear" w:color="000000" w:fill="FFFFFF"/>
            <w:noWrap/>
            <w:vAlign w:val="center"/>
            <w:hideMark/>
          </w:tcPr>
          <w:p w14:paraId="54276A5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438.00 </w:t>
            </w:r>
          </w:p>
        </w:tc>
        <w:tc>
          <w:tcPr>
            <w:tcW w:w="1407" w:type="dxa"/>
            <w:tcBorders>
              <w:top w:val="nil"/>
              <w:left w:val="nil"/>
              <w:bottom w:val="single" w:sz="4" w:space="0" w:color="auto"/>
              <w:right w:val="single" w:sz="4" w:space="0" w:color="auto"/>
            </w:tcBorders>
            <w:shd w:val="clear" w:color="000000" w:fill="FFFFFF"/>
            <w:noWrap/>
            <w:vAlign w:val="center"/>
            <w:hideMark/>
          </w:tcPr>
          <w:p w14:paraId="0727EB6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212.00 </w:t>
            </w:r>
          </w:p>
        </w:tc>
        <w:tc>
          <w:tcPr>
            <w:tcW w:w="1407" w:type="dxa"/>
            <w:tcBorders>
              <w:top w:val="nil"/>
              <w:left w:val="nil"/>
              <w:bottom w:val="single" w:sz="4" w:space="0" w:color="auto"/>
              <w:right w:val="single" w:sz="4" w:space="0" w:color="auto"/>
            </w:tcBorders>
            <w:shd w:val="clear" w:color="000000" w:fill="FFFFFF"/>
            <w:noWrap/>
            <w:vAlign w:val="center"/>
            <w:hideMark/>
          </w:tcPr>
          <w:p w14:paraId="217F30D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212.00 </w:t>
            </w:r>
          </w:p>
        </w:tc>
        <w:tc>
          <w:tcPr>
            <w:tcW w:w="1572" w:type="dxa"/>
            <w:tcBorders>
              <w:top w:val="nil"/>
              <w:left w:val="nil"/>
              <w:bottom w:val="single" w:sz="4" w:space="0" w:color="auto"/>
              <w:right w:val="single" w:sz="4" w:space="0" w:color="auto"/>
            </w:tcBorders>
            <w:shd w:val="clear" w:color="000000" w:fill="FFFFFF"/>
            <w:noWrap/>
            <w:vAlign w:val="center"/>
            <w:hideMark/>
          </w:tcPr>
          <w:p w14:paraId="2781F1E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212.00 </w:t>
            </w:r>
          </w:p>
        </w:tc>
        <w:tc>
          <w:tcPr>
            <w:tcW w:w="1434" w:type="dxa"/>
            <w:tcBorders>
              <w:top w:val="nil"/>
              <w:left w:val="nil"/>
              <w:bottom w:val="single" w:sz="4" w:space="0" w:color="auto"/>
              <w:right w:val="single" w:sz="4" w:space="0" w:color="auto"/>
            </w:tcBorders>
            <w:shd w:val="clear" w:color="000000" w:fill="FFFFFF"/>
            <w:noWrap/>
            <w:vAlign w:val="center"/>
            <w:hideMark/>
          </w:tcPr>
          <w:p w14:paraId="3F29716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212.00 </w:t>
            </w:r>
          </w:p>
        </w:tc>
        <w:tc>
          <w:tcPr>
            <w:tcW w:w="1434" w:type="dxa"/>
            <w:tcBorders>
              <w:top w:val="nil"/>
              <w:left w:val="nil"/>
              <w:bottom w:val="single" w:sz="4" w:space="0" w:color="auto"/>
              <w:right w:val="single" w:sz="4" w:space="0" w:color="auto"/>
            </w:tcBorders>
            <w:shd w:val="clear" w:color="000000" w:fill="FFFFFF"/>
            <w:noWrap/>
            <w:vAlign w:val="center"/>
            <w:hideMark/>
          </w:tcPr>
          <w:p w14:paraId="33EF368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212.00 </w:t>
            </w:r>
          </w:p>
        </w:tc>
      </w:tr>
      <w:tr w:rsidR="00761FE6" w:rsidRPr="00761FE6" w14:paraId="3A0A389A"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240A48D"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七、财务费用</w:t>
            </w:r>
          </w:p>
        </w:tc>
        <w:tc>
          <w:tcPr>
            <w:tcW w:w="1407" w:type="dxa"/>
            <w:tcBorders>
              <w:top w:val="nil"/>
              <w:left w:val="nil"/>
              <w:bottom w:val="single" w:sz="4" w:space="0" w:color="auto"/>
              <w:right w:val="single" w:sz="4" w:space="0" w:color="auto"/>
            </w:tcBorders>
            <w:shd w:val="clear" w:color="000000" w:fill="FFFFFF"/>
            <w:noWrap/>
            <w:vAlign w:val="center"/>
            <w:hideMark/>
          </w:tcPr>
          <w:p w14:paraId="54F57057"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51,375.00 </w:t>
            </w:r>
          </w:p>
        </w:tc>
        <w:tc>
          <w:tcPr>
            <w:tcW w:w="1407" w:type="dxa"/>
            <w:tcBorders>
              <w:top w:val="nil"/>
              <w:left w:val="nil"/>
              <w:bottom w:val="single" w:sz="4" w:space="0" w:color="auto"/>
              <w:right w:val="single" w:sz="4" w:space="0" w:color="auto"/>
            </w:tcBorders>
            <w:shd w:val="clear" w:color="auto" w:fill="auto"/>
            <w:noWrap/>
            <w:vAlign w:val="center"/>
            <w:hideMark/>
          </w:tcPr>
          <w:p w14:paraId="66E39F8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2,625.00 </w:t>
            </w:r>
          </w:p>
        </w:tc>
        <w:tc>
          <w:tcPr>
            <w:tcW w:w="1407" w:type="dxa"/>
            <w:tcBorders>
              <w:top w:val="nil"/>
              <w:left w:val="nil"/>
              <w:bottom w:val="single" w:sz="4" w:space="0" w:color="auto"/>
              <w:right w:val="single" w:sz="4" w:space="0" w:color="auto"/>
            </w:tcBorders>
            <w:shd w:val="clear" w:color="auto" w:fill="auto"/>
            <w:noWrap/>
            <w:vAlign w:val="center"/>
            <w:hideMark/>
          </w:tcPr>
          <w:p w14:paraId="456B194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2,625.00 </w:t>
            </w:r>
          </w:p>
        </w:tc>
        <w:tc>
          <w:tcPr>
            <w:tcW w:w="1407" w:type="dxa"/>
            <w:tcBorders>
              <w:top w:val="nil"/>
              <w:left w:val="nil"/>
              <w:bottom w:val="single" w:sz="4" w:space="0" w:color="auto"/>
              <w:right w:val="single" w:sz="4" w:space="0" w:color="auto"/>
            </w:tcBorders>
            <w:shd w:val="clear" w:color="auto" w:fill="auto"/>
            <w:noWrap/>
            <w:vAlign w:val="center"/>
            <w:hideMark/>
          </w:tcPr>
          <w:p w14:paraId="38B513C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3,750.00 </w:t>
            </w:r>
          </w:p>
        </w:tc>
        <w:tc>
          <w:tcPr>
            <w:tcW w:w="1407" w:type="dxa"/>
            <w:tcBorders>
              <w:top w:val="nil"/>
              <w:left w:val="nil"/>
              <w:bottom w:val="single" w:sz="4" w:space="0" w:color="auto"/>
              <w:right w:val="single" w:sz="4" w:space="0" w:color="auto"/>
            </w:tcBorders>
            <w:shd w:val="clear" w:color="auto" w:fill="auto"/>
            <w:noWrap/>
            <w:vAlign w:val="center"/>
            <w:hideMark/>
          </w:tcPr>
          <w:p w14:paraId="15C49D7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3,750.00 </w:t>
            </w:r>
          </w:p>
        </w:tc>
        <w:tc>
          <w:tcPr>
            <w:tcW w:w="1407" w:type="dxa"/>
            <w:tcBorders>
              <w:top w:val="nil"/>
              <w:left w:val="nil"/>
              <w:bottom w:val="single" w:sz="4" w:space="0" w:color="auto"/>
              <w:right w:val="single" w:sz="4" w:space="0" w:color="auto"/>
            </w:tcBorders>
            <w:shd w:val="clear" w:color="auto" w:fill="auto"/>
            <w:noWrap/>
            <w:vAlign w:val="center"/>
            <w:hideMark/>
          </w:tcPr>
          <w:p w14:paraId="32D9FF2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34" w:type="dxa"/>
            <w:tcBorders>
              <w:top w:val="nil"/>
              <w:left w:val="nil"/>
              <w:bottom w:val="single" w:sz="4" w:space="0" w:color="auto"/>
              <w:right w:val="single" w:sz="4" w:space="0" w:color="auto"/>
            </w:tcBorders>
            <w:shd w:val="clear" w:color="auto" w:fill="auto"/>
            <w:noWrap/>
            <w:vAlign w:val="center"/>
            <w:hideMark/>
          </w:tcPr>
          <w:p w14:paraId="701F417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7A1FE73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34F7348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0AA6F46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41FA4F8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3AC9FEE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407" w:type="dxa"/>
            <w:tcBorders>
              <w:top w:val="nil"/>
              <w:left w:val="nil"/>
              <w:bottom w:val="single" w:sz="4" w:space="0" w:color="auto"/>
              <w:right w:val="single" w:sz="4" w:space="0" w:color="auto"/>
            </w:tcBorders>
            <w:shd w:val="clear" w:color="auto" w:fill="auto"/>
            <w:noWrap/>
            <w:vAlign w:val="center"/>
            <w:hideMark/>
          </w:tcPr>
          <w:p w14:paraId="7243DBD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4,500.00 </w:t>
            </w:r>
          </w:p>
        </w:tc>
        <w:tc>
          <w:tcPr>
            <w:tcW w:w="1572" w:type="dxa"/>
            <w:tcBorders>
              <w:top w:val="nil"/>
              <w:left w:val="nil"/>
              <w:bottom w:val="single" w:sz="4" w:space="0" w:color="auto"/>
              <w:right w:val="single" w:sz="4" w:space="0" w:color="auto"/>
            </w:tcBorders>
            <w:shd w:val="clear" w:color="auto" w:fill="auto"/>
            <w:noWrap/>
            <w:vAlign w:val="center"/>
            <w:hideMark/>
          </w:tcPr>
          <w:p w14:paraId="3055F31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1,875.00 </w:t>
            </w:r>
          </w:p>
        </w:tc>
        <w:tc>
          <w:tcPr>
            <w:tcW w:w="1434" w:type="dxa"/>
            <w:tcBorders>
              <w:top w:val="nil"/>
              <w:left w:val="nil"/>
              <w:bottom w:val="single" w:sz="4" w:space="0" w:color="auto"/>
              <w:right w:val="single" w:sz="4" w:space="0" w:color="auto"/>
            </w:tcBorders>
            <w:shd w:val="clear" w:color="auto" w:fill="auto"/>
            <w:noWrap/>
            <w:vAlign w:val="center"/>
            <w:hideMark/>
          </w:tcPr>
          <w:p w14:paraId="6C5AA7E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750.00 </w:t>
            </w:r>
          </w:p>
        </w:tc>
        <w:tc>
          <w:tcPr>
            <w:tcW w:w="1434" w:type="dxa"/>
            <w:tcBorders>
              <w:top w:val="nil"/>
              <w:left w:val="nil"/>
              <w:bottom w:val="single" w:sz="4" w:space="0" w:color="auto"/>
              <w:right w:val="single" w:sz="4" w:space="0" w:color="auto"/>
            </w:tcBorders>
            <w:shd w:val="clear" w:color="auto" w:fill="auto"/>
            <w:noWrap/>
            <w:vAlign w:val="center"/>
            <w:hideMark/>
          </w:tcPr>
          <w:p w14:paraId="6CE8CCE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   </w:t>
            </w:r>
          </w:p>
        </w:tc>
      </w:tr>
      <w:tr w:rsidR="00761FE6" w:rsidRPr="00761FE6" w14:paraId="28A8AEE0"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352A2EB5"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八、税金</w:t>
            </w:r>
          </w:p>
        </w:tc>
        <w:tc>
          <w:tcPr>
            <w:tcW w:w="1407" w:type="dxa"/>
            <w:tcBorders>
              <w:top w:val="nil"/>
              <w:left w:val="nil"/>
              <w:bottom w:val="single" w:sz="4" w:space="0" w:color="auto"/>
              <w:right w:val="single" w:sz="4" w:space="0" w:color="auto"/>
            </w:tcBorders>
            <w:shd w:val="clear" w:color="000000" w:fill="FFFFFF"/>
            <w:noWrap/>
            <w:vAlign w:val="center"/>
            <w:hideMark/>
          </w:tcPr>
          <w:p w14:paraId="2E4EA986" w14:textId="77777777" w:rsidR="00761FE6" w:rsidRPr="00761FE6" w:rsidRDefault="00761FE6" w:rsidP="00761FE6">
            <w:pPr>
              <w:jc w:val="center"/>
              <w:rPr>
                <w:rFonts w:ascii="Arial" w:eastAsia="DengXian" w:hAnsi="Arial" w:cs="Arial"/>
                <w:b/>
                <w:bCs/>
                <w:sz w:val="18"/>
                <w:szCs w:val="18"/>
              </w:rPr>
            </w:pPr>
            <w:r w:rsidRPr="00761FE6">
              <w:rPr>
                <w:rFonts w:ascii="Arial" w:eastAsia="DengXian" w:hAnsi="Arial" w:cs="Arial"/>
                <w:b/>
                <w:bCs/>
                <w:sz w:val="18"/>
                <w:szCs w:val="18"/>
              </w:rPr>
              <w:t xml:space="preserve"> 39,844.00 </w:t>
            </w:r>
          </w:p>
        </w:tc>
        <w:tc>
          <w:tcPr>
            <w:tcW w:w="1407" w:type="dxa"/>
            <w:tcBorders>
              <w:top w:val="nil"/>
              <w:left w:val="nil"/>
              <w:bottom w:val="single" w:sz="4" w:space="0" w:color="auto"/>
              <w:right w:val="single" w:sz="4" w:space="0" w:color="auto"/>
            </w:tcBorders>
            <w:shd w:val="clear" w:color="auto" w:fill="auto"/>
            <w:noWrap/>
            <w:vAlign w:val="center"/>
            <w:hideMark/>
          </w:tcPr>
          <w:p w14:paraId="1ACA565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1,395.00 </w:t>
            </w:r>
          </w:p>
        </w:tc>
        <w:tc>
          <w:tcPr>
            <w:tcW w:w="1407" w:type="dxa"/>
            <w:tcBorders>
              <w:top w:val="nil"/>
              <w:left w:val="nil"/>
              <w:bottom w:val="single" w:sz="4" w:space="0" w:color="auto"/>
              <w:right w:val="single" w:sz="4" w:space="0" w:color="auto"/>
            </w:tcBorders>
            <w:shd w:val="clear" w:color="auto" w:fill="auto"/>
            <w:noWrap/>
            <w:vAlign w:val="center"/>
            <w:hideMark/>
          </w:tcPr>
          <w:p w14:paraId="5F60221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1,395.00 </w:t>
            </w:r>
          </w:p>
        </w:tc>
        <w:tc>
          <w:tcPr>
            <w:tcW w:w="1407" w:type="dxa"/>
            <w:tcBorders>
              <w:top w:val="nil"/>
              <w:left w:val="nil"/>
              <w:bottom w:val="single" w:sz="4" w:space="0" w:color="auto"/>
              <w:right w:val="single" w:sz="4" w:space="0" w:color="auto"/>
            </w:tcBorders>
            <w:shd w:val="clear" w:color="auto" w:fill="auto"/>
            <w:noWrap/>
            <w:vAlign w:val="center"/>
            <w:hideMark/>
          </w:tcPr>
          <w:p w14:paraId="0608092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3,048.00 </w:t>
            </w:r>
          </w:p>
        </w:tc>
        <w:tc>
          <w:tcPr>
            <w:tcW w:w="1407" w:type="dxa"/>
            <w:tcBorders>
              <w:top w:val="nil"/>
              <w:left w:val="nil"/>
              <w:bottom w:val="single" w:sz="4" w:space="0" w:color="auto"/>
              <w:right w:val="single" w:sz="4" w:space="0" w:color="auto"/>
            </w:tcBorders>
            <w:shd w:val="clear" w:color="auto" w:fill="auto"/>
            <w:noWrap/>
            <w:vAlign w:val="center"/>
            <w:hideMark/>
          </w:tcPr>
          <w:p w14:paraId="7D53ACE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3,048.00 </w:t>
            </w:r>
          </w:p>
        </w:tc>
        <w:tc>
          <w:tcPr>
            <w:tcW w:w="1407" w:type="dxa"/>
            <w:tcBorders>
              <w:top w:val="nil"/>
              <w:left w:val="nil"/>
              <w:bottom w:val="single" w:sz="4" w:space="0" w:color="auto"/>
              <w:right w:val="single" w:sz="4" w:space="0" w:color="auto"/>
            </w:tcBorders>
            <w:shd w:val="clear" w:color="auto" w:fill="auto"/>
            <w:noWrap/>
            <w:vAlign w:val="center"/>
            <w:hideMark/>
          </w:tcPr>
          <w:p w14:paraId="0E1CF94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3,048.00 </w:t>
            </w:r>
          </w:p>
        </w:tc>
        <w:tc>
          <w:tcPr>
            <w:tcW w:w="1434" w:type="dxa"/>
            <w:tcBorders>
              <w:top w:val="nil"/>
              <w:left w:val="nil"/>
              <w:bottom w:val="single" w:sz="4" w:space="0" w:color="auto"/>
              <w:right w:val="single" w:sz="4" w:space="0" w:color="auto"/>
            </w:tcBorders>
            <w:shd w:val="clear" w:color="auto" w:fill="auto"/>
            <w:noWrap/>
            <w:vAlign w:val="center"/>
            <w:hideMark/>
          </w:tcPr>
          <w:p w14:paraId="0894E1A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4,594.00 </w:t>
            </w:r>
          </w:p>
        </w:tc>
        <w:tc>
          <w:tcPr>
            <w:tcW w:w="1407" w:type="dxa"/>
            <w:tcBorders>
              <w:top w:val="nil"/>
              <w:left w:val="nil"/>
              <w:bottom w:val="single" w:sz="4" w:space="0" w:color="auto"/>
              <w:right w:val="single" w:sz="4" w:space="0" w:color="auto"/>
            </w:tcBorders>
            <w:shd w:val="clear" w:color="auto" w:fill="auto"/>
            <w:noWrap/>
            <w:vAlign w:val="center"/>
            <w:hideMark/>
          </w:tcPr>
          <w:p w14:paraId="52A1A5F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4,594.00 </w:t>
            </w:r>
          </w:p>
        </w:tc>
        <w:tc>
          <w:tcPr>
            <w:tcW w:w="1407" w:type="dxa"/>
            <w:tcBorders>
              <w:top w:val="nil"/>
              <w:left w:val="nil"/>
              <w:bottom w:val="single" w:sz="4" w:space="0" w:color="auto"/>
              <w:right w:val="single" w:sz="4" w:space="0" w:color="auto"/>
            </w:tcBorders>
            <w:shd w:val="clear" w:color="auto" w:fill="auto"/>
            <w:noWrap/>
            <w:vAlign w:val="center"/>
            <w:hideMark/>
          </w:tcPr>
          <w:p w14:paraId="1E69274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4,594.00 </w:t>
            </w:r>
          </w:p>
        </w:tc>
        <w:tc>
          <w:tcPr>
            <w:tcW w:w="1407" w:type="dxa"/>
            <w:tcBorders>
              <w:top w:val="nil"/>
              <w:left w:val="nil"/>
              <w:bottom w:val="single" w:sz="4" w:space="0" w:color="auto"/>
              <w:right w:val="single" w:sz="4" w:space="0" w:color="auto"/>
            </w:tcBorders>
            <w:shd w:val="clear" w:color="auto" w:fill="auto"/>
            <w:noWrap/>
            <w:vAlign w:val="center"/>
            <w:hideMark/>
          </w:tcPr>
          <w:p w14:paraId="4314EF9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3,199.00 </w:t>
            </w:r>
          </w:p>
        </w:tc>
        <w:tc>
          <w:tcPr>
            <w:tcW w:w="1407" w:type="dxa"/>
            <w:tcBorders>
              <w:top w:val="nil"/>
              <w:left w:val="nil"/>
              <w:bottom w:val="single" w:sz="4" w:space="0" w:color="auto"/>
              <w:right w:val="single" w:sz="4" w:space="0" w:color="auto"/>
            </w:tcBorders>
            <w:shd w:val="clear" w:color="auto" w:fill="auto"/>
            <w:noWrap/>
            <w:vAlign w:val="center"/>
            <w:hideMark/>
          </w:tcPr>
          <w:p w14:paraId="1538460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3,199.00 </w:t>
            </w:r>
          </w:p>
        </w:tc>
        <w:tc>
          <w:tcPr>
            <w:tcW w:w="1407" w:type="dxa"/>
            <w:tcBorders>
              <w:top w:val="nil"/>
              <w:left w:val="nil"/>
              <w:bottom w:val="single" w:sz="4" w:space="0" w:color="auto"/>
              <w:right w:val="single" w:sz="4" w:space="0" w:color="auto"/>
            </w:tcBorders>
            <w:shd w:val="clear" w:color="auto" w:fill="auto"/>
            <w:noWrap/>
            <w:vAlign w:val="center"/>
            <w:hideMark/>
          </w:tcPr>
          <w:p w14:paraId="2AE4448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1,546.00 </w:t>
            </w:r>
          </w:p>
        </w:tc>
        <w:tc>
          <w:tcPr>
            <w:tcW w:w="1407" w:type="dxa"/>
            <w:tcBorders>
              <w:top w:val="nil"/>
              <w:left w:val="nil"/>
              <w:bottom w:val="single" w:sz="4" w:space="0" w:color="auto"/>
              <w:right w:val="single" w:sz="4" w:space="0" w:color="auto"/>
            </w:tcBorders>
            <w:shd w:val="clear" w:color="auto" w:fill="auto"/>
            <w:noWrap/>
            <w:vAlign w:val="center"/>
            <w:hideMark/>
          </w:tcPr>
          <w:p w14:paraId="1225C6C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1,546.00 </w:t>
            </w:r>
          </w:p>
        </w:tc>
        <w:tc>
          <w:tcPr>
            <w:tcW w:w="1572" w:type="dxa"/>
            <w:tcBorders>
              <w:top w:val="nil"/>
              <w:left w:val="nil"/>
              <w:bottom w:val="single" w:sz="4" w:space="0" w:color="auto"/>
              <w:right w:val="single" w:sz="4" w:space="0" w:color="auto"/>
            </w:tcBorders>
            <w:shd w:val="clear" w:color="auto" w:fill="auto"/>
            <w:noWrap/>
            <w:vAlign w:val="center"/>
            <w:hideMark/>
          </w:tcPr>
          <w:p w14:paraId="4E47DB6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1,546.00 </w:t>
            </w:r>
          </w:p>
        </w:tc>
        <w:tc>
          <w:tcPr>
            <w:tcW w:w="1434" w:type="dxa"/>
            <w:tcBorders>
              <w:top w:val="nil"/>
              <w:left w:val="nil"/>
              <w:bottom w:val="single" w:sz="4" w:space="0" w:color="auto"/>
              <w:right w:val="single" w:sz="4" w:space="0" w:color="auto"/>
            </w:tcBorders>
            <w:shd w:val="clear" w:color="auto" w:fill="auto"/>
            <w:noWrap/>
            <w:vAlign w:val="center"/>
            <w:hideMark/>
          </w:tcPr>
          <w:p w14:paraId="35B88B6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1,546.00 </w:t>
            </w:r>
          </w:p>
        </w:tc>
        <w:tc>
          <w:tcPr>
            <w:tcW w:w="1434" w:type="dxa"/>
            <w:tcBorders>
              <w:top w:val="nil"/>
              <w:left w:val="nil"/>
              <w:bottom w:val="single" w:sz="4" w:space="0" w:color="auto"/>
              <w:right w:val="single" w:sz="4" w:space="0" w:color="auto"/>
            </w:tcBorders>
            <w:shd w:val="clear" w:color="auto" w:fill="auto"/>
            <w:noWrap/>
            <w:vAlign w:val="center"/>
            <w:hideMark/>
          </w:tcPr>
          <w:p w14:paraId="03C7F25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1,546.00 </w:t>
            </w:r>
          </w:p>
        </w:tc>
      </w:tr>
      <w:tr w:rsidR="00761FE6" w:rsidRPr="00761FE6" w14:paraId="21A3947D"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A4994D9"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九、归还股东借款</w:t>
            </w:r>
          </w:p>
        </w:tc>
        <w:tc>
          <w:tcPr>
            <w:tcW w:w="1407" w:type="dxa"/>
            <w:tcBorders>
              <w:top w:val="nil"/>
              <w:left w:val="nil"/>
              <w:bottom w:val="single" w:sz="4" w:space="0" w:color="auto"/>
              <w:right w:val="single" w:sz="4" w:space="0" w:color="auto"/>
            </w:tcBorders>
            <w:shd w:val="clear" w:color="000000" w:fill="FFFFFF"/>
            <w:noWrap/>
            <w:vAlign w:val="center"/>
            <w:hideMark/>
          </w:tcPr>
          <w:p w14:paraId="23E041FE"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30,000.00 </w:t>
            </w:r>
          </w:p>
        </w:tc>
        <w:tc>
          <w:tcPr>
            <w:tcW w:w="1407" w:type="dxa"/>
            <w:tcBorders>
              <w:top w:val="nil"/>
              <w:left w:val="nil"/>
              <w:bottom w:val="single" w:sz="4" w:space="0" w:color="auto"/>
              <w:right w:val="single" w:sz="4" w:space="0" w:color="auto"/>
            </w:tcBorders>
            <w:shd w:val="clear" w:color="auto" w:fill="auto"/>
            <w:noWrap/>
            <w:vAlign w:val="center"/>
            <w:hideMark/>
          </w:tcPr>
          <w:p w14:paraId="6D507C1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10,000.00 </w:t>
            </w:r>
          </w:p>
        </w:tc>
        <w:tc>
          <w:tcPr>
            <w:tcW w:w="1407" w:type="dxa"/>
            <w:tcBorders>
              <w:top w:val="nil"/>
              <w:left w:val="nil"/>
              <w:bottom w:val="single" w:sz="4" w:space="0" w:color="auto"/>
              <w:right w:val="single" w:sz="4" w:space="0" w:color="auto"/>
            </w:tcBorders>
            <w:shd w:val="clear" w:color="auto" w:fill="auto"/>
            <w:noWrap/>
            <w:vAlign w:val="center"/>
            <w:hideMark/>
          </w:tcPr>
          <w:p w14:paraId="43B5A83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10,000.00 </w:t>
            </w:r>
          </w:p>
        </w:tc>
        <w:tc>
          <w:tcPr>
            <w:tcW w:w="1407" w:type="dxa"/>
            <w:tcBorders>
              <w:top w:val="nil"/>
              <w:left w:val="nil"/>
              <w:bottom w:val="single" w:sz="4" w:space="0" w:color="auto"/>
              <w:right w:val="single" w:sz="4" w:space="0" w:color="auto"/>
            </w:tcBorders>
            <w:shd w:val="clear" w:color="auto" w:fill="auto"/>
            <w:noWrap/>
            <w:vAlign w:val="center"/>
            <w:hideMark/>
          </w:tcPr>
          <w:p w14:paraId="2B033DC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10,000.00 </w:t>
            </w:r>
          </w:p>
        </w:tc>
        <w:tc>
          <w:tcPr>
            <w:tcW w:w="1407" w:type="dxa"/>
            <w:tcBorders>
              <w:top w:val="nil"/>
              <w:left w:val="nil"/>
              <w:bottom w:val="single" w:sz="4" w:space="0" w:color="auto"/>
              <w:right w:val="single" w:sz="4" w:space="0" w:color="auto"/>
            </w:tcBorders>
            <w:shd w:val="clear" w:color="auto" w:fill="auto"/>
            <w:noWrap/>
            <w:vAlign w:val="center"/>
            <w:hideMark/>
          </w:tcPr>
          <w:p w14:paraId="3666593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0F7A070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34" w:type="dxa"/>
            <w:tcBorders>
              <w:top w:val="nil"/>
              <w:left w:val="nil"/>
              <w:bottom w:val="single" w:sz="4" w:space="0" w:color="auto"/>
              <w:right w:val="single" w:sz="4" w:space="0" w:color="auto"/>
            </w:tcBorders>
            <w:shd w:val="clear" w:color="auto" w:fill="auto"/>
            <w:noWrap/>
            <w:vAlign w:val="center"/>
            <w:hideMark/>
          </w:tcPr>
          <w:p w14:paraId="576C3BCF"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6E3F4AB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0D232D0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198201B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2B87889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0990DA6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1517ACC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572" w:type="dxa"/>
            <w:tcBorders>
              <w:top w:val="nil"/>
              <w:left w:val="nil"/>
              <w:bottom w:val="single" w:sz="4" w:space="0" w:color="auto"/>
              <w:right w:val="single" w:sz="4" w:space="0" w:color="auto"/>
            </w:tcBorders>
            <w:shd w:val="clear" w:color="000000" w:fill="FFFFFF"/>
            <w:noWrap/>
            <w:vAlign w:val="center"/>
            <w:hideMark/>
          </w:tcPr>
          <w:p w14:paraId="484C6F2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34" w:type="dxa"/>
            <w:tcBorders>
              <w:top w:val="nil"/>
              <w:left w:val="nil"/>
              <w:bottom w:val="single" w:sz="4" w:space="0" w:color="auto"/>
              <w:right w:val="single" w:sz="4" w:space="0" w:color="auto"/>
            </w:tcBorders>
            <w:shd w:val="clear" w:color="000000" w:fill="FFFFFF"/>
            <w:noWrap/>
            <w:vAlign w:val="center"/>
            <w:hideMark/>
          </w:tcPr>
          <w:p w14:paraId="3751776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34" w:type="dxa"/>
            <w:tcBorders>
              <w:top w:val="nil"/>
              <w:left w:val="nil"/>
              <w:bottom w:val="single" w:sz="4" w:space="0" w:color="auto"/>
              <w:right w:val="single" w:sz="4" w:space="0" w:color="auto"/>
            </w:tcBorders>
            <w:shd w:val="clear" w:color="000000" w:fill="FFFFFF"/>
            <w:noWrap/>
            <w:vAlign w:val="center"/>
            <w:hideMark/>
          </w:tcPr>
          <w:p w14:paraId="4B5F49E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r>
      <w:tr w:rsidR="00761FE6" w:rsidRPr="00761FE6" w14:paraId="2421BD62"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B844A44"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十、归还金融机构借款</w:t>
            </w:r>
          </w:p>
        </w:tc>
        <w:tc>
          <w:tcPr>
            <w:tcW w:w="1407" w:type="dxa"/>
            <w:tcBorders>
              <w:top w:val="nil"/>
              <w:left w:val="nil"/>
              <w:bottom w:val="single" w:sz="4" w:space="0" w:color="auto"/>
              <w:right w:val="single" w:sz="4" w:space="0" w:color="auto"/>
            </w:tcBorders>
            <w:shd w:val="clear" w:color="000000" w:fill="FFFFFF"/>
            <w:noWrap/>
            <w:vAlign w:val="center"/>
            <w:hideMark/>
          </w:tcPr>
          <w:p w14:paraId="3D21D7CA" w14:textId="77777777" w:rsidR="00761FE6" w:rsidRPr="00761FE6" w:rsidRDefault="00761FE6" w:rsidP="00761FE6">
            <w:pPr>
              <w:jc w:val="center"/>
              <w:rPr>
                <w:rFonts w:ascii="Arial" w:eastAsia="DengXian" w:hAnsi="Arial" w:cs="Arial"/>
                <w:b/>
                <w:bCs/>
                <w:color w:val="C00000"/>
                <w:sz w:val="18"/>
                <w:szCs w:val="18"/>
              </w:rPr>
            </w:pPr>
            <w:r w:rsidRPr="00761FE6">
              <w:rPr>
                <w:rFonts w:ascii="Arial" w:eastAsia="DengXian" w:hAnsi="Arial" w:cs="Arial"/>
                <w:b/>
                <w:bCs/>
                <w:color w:val="C00000"/>
                <w:sz w:val="18"/>
                <w:szCs w:val="18"/>
              </w:rPr>
              <w:t xml:space="preserve"> 240,000.00 </w:t>
            </w:r>
          </w:p>
        </w:tc>
        <w:tc>
          <w:tcPr>
            <w:tcW w:w="1407" w:type="dxa"/>
            <w:tcBorders>
              <w:top w:val="nil"/>
              <w:left w:val="nil"/>
              <w:bottom w:val="single" w:sz="4" w:space="0" w:color="auto"/>
              <w:right w:val="single" w:sz="4" w:space="0" w:color="auto"/>
            </w:tcBorders>
            <w:shd w:val="clear" w:color="auto" w:fill="auto"/>
            <w:noWrap/>
            <w:vAlign w:val="center"/>
            <w:hideMark/>
          </w:tcPr>
          <w:p w14:paraId="566025FD"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419E514C"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71A1AA2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62094FF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1A4DA0C2"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34" w:type="dxa"/>
            <w:tcBorders>
              <w:top w:val="nil"/>
              <w:left w:val="nil"/>
              <w:bottom w:val="single" w:sz="4" w:space="0" w:color="auto"/>
              <w:right w:val="single" w:sz="4" w:space="0" w:color="auto"/>
            </w:tcBorders>
            <w:shd w:val="clear" w:color="000000" w:fill="FFFFFF"/>
            <w:noWrap/>
            <w:vAlign w:val="center"/>
            <w:hideMark/>
          </w:tcPr>
          <w:p w14:paraId="2F1CE6C7"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02CE31E5" w14:textId="77777777" w:rsidR="00761FE6" w:rsidRPr="00761FE6" w:rsidRDefault="00761FE6" w:rsidP="00761FE6">
            <w:pPr>
              <w:jc w:val="center"/>
              <w:rPr>
                <w:rFonts w:ascii="Arial" w:eastAsia="DengXian" w:hAnsi="Arial" w:cs="Arial"/>
                <w:color w:val="000000"/>
                <w:sz w:val="18"/>
                <w:szCs w:val="18"/>
              </w:rPr>
            </w:pPr>
            <w:r w:rsidRPr="00761FE6">
              <w:rPr>
                <w:rFonts w:ascii="Arial" w:eastAsia="DengXian" w:hAnsi="Arial" w:cs="Arial"/>
                <w:color w:val="000000"/>
                <w:sz w:val="18"/>
                <w:szCs w:val="18"/>
              </w:rPr>
              <w:t xml:space="preserve"> -   </w:t>
            </w:r>
          </w:p>
        </w:tc>
        <w:tc>
          <w:tcPr>
            <w:tcW w:w="1407" w:type="dxa"/>
            <w:tcBorders>
              <w:top w:val="nil"/>
              <w:left w:val="nil"/>
              <w:bottom w:val="single" w:sz="4" w:space="0" w:color="auto"/>
              <w:right w:val="single" w:sz="4" w:space="0" w:color="auto"/>
            </w:tcBorders>
            <w:shd w:val="clear" w:color="000000" w:fill="FFFFFF"/>
            <w:noWrap/>
            <w:vAlign w:val="center"/>
            <w:hideMark/>
          </w:tcPr>
          <w:p w14:paraId="3B5CCA4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71C7CB9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18DA8EF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13AB603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407" w:type="dxa"/>
            <w:tcBorders>
              <w:top w:val="nil"/>
              <w:left w:val="nil"/>
              <w:bottom w:val="single" w:sz="4" w:space="0" w:color="auto"/>
              <w:right w:val="single" w:sz="4" w:space="0" w:color="auto"/>
            </w:tcBorders>
            <w:shd w:val="clear" w:color="000000" w:fill="FFFFFF"/>
            <w:noWrap/>
            <w:vAlign w:val="center"/>
            <w:hideMark/>
          </w:tcPr>
          <w:p w14:paraId="3097DB1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w:t>
            </w:r>
          </w:p>
        </w:tc>
        <w:tc>
          <w:tcPr>
            <w:tcW w:w="1572" w:type="dxa"/>
            <w:tcBorders>
              <w:top w:val="nil"/>
              <w:left w:val="nil"/>
              <w:bottom w:val="single" w:sz="4" w:space="0" w:color="auto"/>
              <w:right w:val="single" w:sz="4" w:space="0" w:color="auto"/>
            </w:tcBorders>
            <w:shd w:val="clear" w:color="000000" w:fill="FFFFFF"/>
            <w:noWrap/>
            <w:vAlign w:val="center"/>
            <w:hideMark/>
          </w:tcPr>
          <w:p w14:paraId="4CBC5CB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140,000.00 </w:t>
            </w:r>
          </w:p>
        </w:tc>
        <w:tc>
          <w:tcPr>
            <w:tcW w:w="1434" w:type="dxa"/>
            <w:tcBorders>
              <w:top w:val="nil"/>
              <w:left w:val="nil"/>
              <w:bottom w:val="single" w:sz="4" w:space="0" w:color="auto"/>
              <w:right w:val="single" w:sz="4" w:space="0" w:color="auto"/>
            </w:tcBorders>
            <w:shd w:val="clear" w:color="auto" w:fill="auto"/>
            <w:noWrap/>
            <w:vAlign w:val="center"/>
            <w:hideMark/>
          </w:tcPr>
          <w:p w14:paraId="713DB92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60,000.00 </w:t>
            </w:r>
          </w:p>
        </w:tc>
        <w:tc>
          <w:tcPr>
            <w:tcW w:w="1434" w:type="dxa"/>
            <w:tcBorders>
              <w:top w:val="nil"/>
              <w:left w:val="nil"/>
              <w:bottom w:val="single" w:sz="4" w:space="0" w:color="auto"/>
              <w:right w:val="single" w:sz="4" w:space="0" w:color="auto"/>
            </w:tcBorders>
            <w:shd w:val="clear" w:color="auto" w:fill="auto"/>
            <w:noWrap/>
            <w:vAlign w:val="center"/>
            <w:hideMark/>
          </w:tcPr>
          <w:p w14:paraId="67F459B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40,000.00 </w:t>
            </w:r>
          </w:p>
        </w:tc>
      </w:tr>
      <w:tr w:rsidR="00761FE6" w:rsidRPr="00761FE6" w14:paraId="16501F18" w14:textId="77777777" w:rsidTr="00761FE6">
        <w:trPr>
          <w:trHeight w:val="320"/>
        </w:trPr>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3D6B2986" w14:textId="77777777" w:rsidR="00761FE6" w:rsidRPr="00761FE6" w:rsidRDefault="00761FE6" w:rsidP="00761FE6">
            <w:pP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小计</w:t>
            </w:r>
          </w:p>
        </w:tc>
        <w:tc>
          <w:tcPr>
            <w:tcW w:w="1407" w:type="dxa"/>
            <w:tcBorders>
              <w:top w:val="nil"/>
              <w:left w:val="nil"/>
              <w:bottom w:val="single" w:sz="4" w:space="0" w:color="auto"/>
              <w:right w:val="single" w:sz="4" w:space="0" w:color="auto"/>
            </w:tcBorders>
            <w:shd w:val="clear" w:color="000000" w:fill="FFFFFF"/>
            <w:noWrap/>
            <w:vAlign w:val="center"/>
            <w:hideMark/>
          </w:tcPr>
          <w:p w14:paraId="5324DA1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727,985.00 </w:t>
            </w:r>
          </w:p>
        </w:tc>
        <w:tc>
          <w:tcPr>
            <w:tcW w:w="1407" w:type="dxa"/>
            <w:tcBorders>
              <w:top w:val="nil"/>
              <w:left w:val="nil"/>
              <w:bottom w:val="single" w:sz="4" w:space="0" w:color="auto"/>
              <w:right w:val="single" w:sz="4" w:space="0" w:color="auto"/>
            </w:tcBorders>
            <w:shd w:val="clear" w:color="auto" w:fill="auto"/>
            <w:noWrap/>
            <w:vAlign w:val="center"/>
            <w:hideMark/>
          </w:tcPr>
          <w:p w14:paraId="47D05B9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93,336.00 </w:t>
            </w:r>
          </w:p>
        </w:tc>
        <w:tc>
          <w:tcPr>
            <w:tcW w:w="1407" w:type="dxa"/>
            <w:tcBorders>
              <w:top w:val="nil"/>
              <w:left w:val="nil"/>
              <w:bottom w:val="single" w:sz="4" w:space="0" w:color="auto"/>
              <w:right w:val="single" w:sz="4" w:space="0" w:color="auto"/>
            </w:tcBorders>
            <w:shd w:val="clear" w:color="000000" w:fill="FFFFFF"/>
            <w:noWrap/>
            <w:vAlign w:val="center"/>
            <w:hideMark/>
          </w:tcPr>
          <w:p w14:paraId="1F5737A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34,831.00 </w:t>
            </w:r>
          </w:p>
        </w:tc>
        <w:tc>
          <w:tcPr>
            <w:tcW w:w="1407" w:type="dxa"/>
            <w:tcBorders>
              <w:top w:val="nil"/>
              <w:left w:val="nil"/>
              <w:bottom w:val="single" w:sz="4" w:space="0" w:color="auto"/>
              <w:right w:val="single" w:sz="4" w:space="0" w:color="auto"/>
            </w:tcBorders>
            <w:shd w:val="clear" w:color="000000" w:fill="FFFFFF"/>
            <w:noWrap/>
            <w:vAlign w:val="center"/>
            <w:hideMark/>
          </w:tcPr>
          <w:p w14:paraId="6FFFD70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48,815.00 </w:t>
            </w:r>
          </w:p>
        </w:tc>
        <w:tc>
          <w:tcPr>
            <w:tcW w:w="1407" w:type="dxa"/>
            <w:tcBorders>
              <w:top w:val="nil"/>
              <w:left w:val="nil"/>
              <w:bottom w:val="single" w:sz="4" w:space="0" w:color="auto"/>
              <w:right w:val="single" w:sz="4" w:space="0" w:color="auto"/>
            </w:tcBorders>
            <w:shd w:val="clear" w:color="000000" w:fill="FFFFFF"/>
            <w:noWrap/>
            <w:vAlign w:val="center"/>
            <w:hideMark/>
          </w:tcPr>
          <w:p w14:paraId="44E989C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33,923.00 </w:t>
            </w:r>
          </w:p>
        </w:tc>
        <w:tc>
          <w:tcPr>
            <w:tcW w:w="1407" w:type="dxa"/>
            <w:tcBorders>
              <w:top w:val="nil"/>
              <w:left w:val="nil"/>
              <w:bottom w:val="single" w:sz="4" w:space="0" w:color="auto"/>
              <w:right w:val="single" w:sz="4" w:space="0" w:color="auto"/>
            </w:tcBorders>
            <w:shd w:val="clear" w:color="000000" w:fill="FFFFFF"/>
            <w:noWrap/>
            <w:vAlign w:val="center"/>
            <w:hideMark/>
          </w:tcPr>
          <w:p w14:paraId="4E5672F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34,901.00 </w:t>
            </w:r>
          </w:p>
        </w:tc>
        <w:tc>
          <w:tcPr>
            <w:tcW w:w="1434" w:type="dxa"/>
            <w:tcBorders>
              <w:top w:val="nil"/>
              <w:left w:val="nil"/>
              <w:bottom w:val="single" w:sz="4" w:space="0" w:color="auto"/>
              <w:right w:val="single" w:sz="4" w:space="0" w:color="auto"/>
            </w:tcBorders>
            <w:shd w:val="clear" w:color="000000" w:fill="FFFFFF"/>
            <w:noWrap/>
            <w:vAlign w:val="center"/>
            <w:hideMark/>
          </w:tcPr>
          <w:p w14:paraId="6585ADB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43,883.00 </w:t>
            </w:r>
          </w:p>
        </w:tc>
        <w:tc>
          <w:tcPr>
            <w:tcW w:w="1407" w:type="dxa"/>
            <w:tcBorders>
              <w:top w:val="nil"/>
              <w:left w:val="nil"/>
              <w:bottom w:val="single" w:sz="4" w:space="0" w:color="auto"/>
              <w:right w:val="single" w:sz="4" w:space="0" w:color="auto"/>
            </w:tcBorders>
            <w:shd w:val="clear" w:color="000000" w:fill="FFFFFF"/>
            <w:noWrap/>
            <w:vAlign w:val="center"/>
            <w:hideMark/>
          </w:tcPr>
          <w:p w14:paraId="54656D7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43,883.00 </w:t>
            </w:r>
          </w:p>
        </w:tc>
        <w:tc>
          <w:tcPr>
            <w:tcW w:w="1407" w:type="dxa"/>
            <w:tcBorders>
              <w:top w:val="nil"/>
              <w:left w:val="nil"/>
              <w:bottom w:val="single" w:sz="4" w:space="0" w:color="auto"/>
              <w:right w:val="single" w:sz="4" w:space="0" w:color="auto"/>
            </w:tcBorders>
            <w:shd w:val="clear" w:color="000000" w:fill="FFFFFF"/>
            <w:noWrap/>
            <w:vAlign w:val="center"/>
            <w:hideMark/>
          </w:tcPr>
          <w:p w14:paraId="5224517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36,698.00 </w:t>
            </w:r>
          </w:p>
        </w:tc>
        <w:tc>
          <w:tcPr>
            <w:tcW w:w="1407" w:type="dxa"/>
            <w:tcBorders>
              <w:top w:val="nil"/>
              <w:left w:val="nil"/>
              <w:bottom w:val="single" w:sz="4" w:space="0" w:color="auto"/>
              <w:right w:val="single" w:sz="4" w:space="0" w:color="auto"/>
            </w:tcBorders>
            <w:shd w:val="clear" w:color="000000" w:fill="FFFFFF"/>
            <w:noWrap/>
            <w:vAlign w:val="center"/>
            <w:hideMark/>
          </w:tcPr>
          <w:p w14:paraId="5656B5D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27,555.00 </w:t>
            </w:r>
          </w:p>
        </w:tc>
        <w:tc>
          <w:tcPr>
            <w:tcW w:w="1407" w:type="dxa"/>
            <w:tcBorders>
              <w:top w:val="nil"/>
              <w:left w:val="nil"/>
              <w:bottom w:val="single" w:sz="4" w:space="0" w:color="auto"/>
              <w:right w:val="single" w:sz="4" w:space="0" w:color="auto"/>
            </w:tcBorders>
            <w:shd w:val="clear" w:color="000000" w:fill="FFFFFF"/>
            <w:noWrap/>
            <w:vAlign w:val="center"/>
            <w:hideMark/>
          </w:tcPr>
          <w:p w14:paraId="578A26D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27,555.00 </w:t>
            </w:r>
          </w:p>
        </w:tc>
        <w:tc>
          <w:tcPr>
            <w:tcW w:w="1407" w:type="dxa"/>
            <w:tcBorders>
              <w:top w:val="nil"/>
              <w:left w:val="nil"/>
              <w:bottom w:val="single" w:sz="4" w:space="0" w:color="auto"/>
              <w:right w:val="single" w:sz="4" w:space="0" w:color="auto"/>
            </w:tcBorders>
            <w:shd w:val="clear" w:color="000000" w:fill="FFFFFF"/>
            <w:noWrap/>
            <w:vAlign w:val="center"/>
            <w:hideMark/>
          </w:tcPr>
          <w:p w14:paraId="6A00A8A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14,696.00 </w:t>
            </w:r>
          </w:p>
        </w:tc>
        <w:tc>
          <w:tcPr>
            <w:tcW w:w="1407" w:type="dxa"/>
            <w:tcBorders>
              <w:top w:val="nil"/>
              <w:left w:val="nil"/>
              <w:bottom w:val="single" w:sz="4" w:space="0" w:color="auto"/>
              <w:right w:val="single" w:sz="4" w:space="0" w:color="auto"/>
            </w:tcBorders>
            <w:shd w:val="clear" w:color="000000" w:fill="FFFFFF"/>
            <w:noWrap/>
            <w:vAlign w:val="center"/>
            <w:hideMark/>
          </w:tcPr>
          <w:p w14:paraId="3652B80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14,696.00 </w:t>
            </w:r>
          </w:p>
        </w:tc>
        <w:tc>
          <w:tcPr>
            <w:tcW w:w="1572" w:type="dxa"/>
            <w:tcBorders>
              <w:top w:val="nil"/>
              <w:left w:val="nil"/>
              <w:bottom w:val="single" w:sz="4" w:space="0" w:color="auto"/>
              <w:right w:val="single" w:sz="4" w:space="0" w:color="auto"/>
            </w:tcBorders>
            <w:shd w:val="clear" w:color="000000" w:fill="FFFFFF"/>
            <w:noWrap/>
            <w:vAlign w:val="center"/>
            <w:hideMark/>
          </w:tcPr>
          <w:p w14:paraId="1E6AC89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152,071.00 </w:t>
            </w:r>
          </w:p>
        </w:tc>
        <w:tc>
          <w:tcPr>
            <w:tcW w:w="1434" w:type="dxa"/>
            <w:tcBorders>
              <w:top w:val="nil"/>
              <w:left w:val="nil"/>
              <w:bottom w:val="single" w:sz="4" w:space="0" w:color="auto"/>
              <w:right w:val="single" w:sz="4" w:space="0" w:color="auto"/>
            </w:tcBorders>
            <w:shd w:val="clear" w:color="000000" w:fill="FFFFFF"/>
            <w:noWrap/>
            <w:vAlign w:val="center"/>
            <w:hideMark/>
          </w:tcPr>
          <w:p w14:paraId="019D75B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70,946.00 </w:t>
            </w:r>
          </w:p>
        </w:tc>
        <w:tc>
          <w:tcPr>
            <w:tcW w:w="1434" w:type="dxa"/>
            <w:tcBorders>
              <w:top w:val="nil"/>
              <w:left w:val="nil"/>
              <w:bottom w:val="single" w:sz="4" w:space="0" w:color="auto"/>
              <w:right w:val="single" w:sz="4" w:space="0" w:color="auto"/>
            </w:tcBorders>
            <w:shd w:val="clear" w:color="000000" w:fill="FFFFFF"/>
            <w:noWrap/>
            <w:vAlign w:val="center"/>
            <w:hideMark/>
          </w:tcPr>
          <w:p w14:paraId="10B8A2F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50,196.00 </w:t>
            </w:r>
          </w:p>
        </w:tc>
      </w:tr>
      <w:tr w:rsidR="00761FE6" w:rsidRPr="00761FE6" w14:paraId="6E176DF6" w14:textId="77777777" w:rsidTr="00761FE6">
        <w:trPr>
          <w:trHeight w:val="320"/>
        </w:trPr>
        <w:tc>
          <w:tcPr>
            <w:tcW w:w="392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5A065" w14:textId="77777777" w:rsidR="00761FE6" w:rsidRPr="00761FE6" w:rsidRDefault="00761FE6" w:rsidP="00761FE6">
            <w:pPr>
              <w:jc w:val="cente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净现金流量</w:t>
            </w:r>
          </w:p>
        </w:tc>
        <w:tc>
          <w:tcPr>
            <w:tcW w:w="1407" w:type="dxa"/>
            <w:tcBorders>
              <w:top w:val="nil"/>
              <w:left w:val="nil"/>
              <w:bottom w:val="single" w:sz="4" w:space="0" w:color="auto"/>
              <w:right w:val="single" w:sz="4" w:space="0" w:color="auto"/>
            </w:tcBorders>
            <w:shd w:val="clear" w:color="auto" w:fill="auto"/>
            <w:noWrap/>
            <w:vAlign w:val="center"/>
            <w:hideMark/>
          </w:tcPr>
          <w:p w14:paraId="2AA6F528"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76,664.00 </w:t>
            </w:r>
          </w:p>
        </w:tc>
        <w:tc>
          <w:tcPr>
            <w:tcW w:w="1407" w:type="dxa"/>
            <w:tcBorders>
              <w:top w:val="nil"/>
              <w:left w:val="nil"/>
              <w:bottom w:val="single" w:sz="4" w:space="0" w:color="auto"/>
              <w:right w:val="single" w:sz="4" w:space="0" w:color="auto"/>
            </w:tcBorders>
            <w:shd w:val="clear" w:color="auto" w:fill="auto"/>
            <w:noWrap/>
            <w:vAlign w:val="center"/>
            <w:hideMark/>
          </w:tcPr>
          <w:p w14:paraId="6217D30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45,169.00 </w:t>
            </w:r>
          </w:p>
        </w:tc>
        <w:tc>
          <w:tcPr>
            <w:tcW w:w="1407" w:type="dxa"/>
            <w:tcBorders>
              <w:top w:val="nil"/>
              <w:left w:val="nil"/>
              <w:bottom w:val="single" w:sz="4" w:space="0" w:color="auto"/>
              <w:right w:val="single" w:sz="4" w:space="0" w:color="auto"/>
            </w:tcBorders>
            <w:shd w:val="clear" w:color="auto" w:fill="auto"/>
            <w:noWrap/>
            <w:vAlign w:val="center"/>
            <w:hideMark/>
          </w:tcPr>
          <w:p w14:paraId="4707FE1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11,185.00 </w:t>
            </w:r>
          </w:p>
        </w:tc>
        <w:tc>
          <w:tcPr>
            <w:tcW w:w="1407" w:type="dxa"/>
            <w:tcBorders>
              <w:top w:val="nil"/>
              <w:left w:val="nil"/>
              <w:bottom w:val="single" w:sz="4" w:space="0" w:color="auto"/>
              <w:right w:val="single" w:sz="4" w:space="0" w:color="auto"/>
            </w:tcBorders>
            <w:shd w:val="clear" w:color="auto" w:fill="auto"/>
            <w:noWrap/>
            <w:vAlign w:val="center"/>
            <w:hideMark/>
          </w:tcPr>
          <w:p w14:paraId="18AC67A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(1,962.64)</w:t>
            </w:r>
          </w:p>
        </w:tc>
        <w:tc>
          <w:tcPr>
            <w:tcW w:w="1407" w:type="dxa"/>
            <w:tcBorders>
              <w:top w:val="nil"/>
              <w:left w:val="nil"/>
              <w:bottom w:val="single" w:sz="4" w:space="0" w:color="auto"/>
              <w:right w:val="single" w:sz="4" w:space="0" w:color="auto"/>
            </w:tcBorders>
            <w:shd w:val="clear" w:color="auto" w:fill="auto"/>
            <w:noWrap/>
            <w:vAlign w:val="center"/>
            <w:hideMark/>
          </w:tcPr>
          <w:p w14:paraId="2911C963"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53,039.54 </w:t>
            </w:r>
          </w:p>
        </w:tc>
        <w:tc>
          <w:tcPr>
            <w:tcW w:w="1434" w:type="dxa"/>
            <w:tcBorders>
              <w:top w:val="nil"/>
              <w:left w:val="nil"/>
              <w:bottom w:val="single" w:sz="4" w:space="0" w:color="auto"/>
              <w:right w:val="single" w:sz="4" w:space="0" w:color="auto"/>
            </w:tcBorders>
            <w:shd w:val="clear" w:color="auto" w:fill="auto"/>
            <w:noWrap/>
            <w:vAlign w:val="center"/>
            <w:hideMark/>
          </w:tcPr>
          <w:p w14:paraId="2A67B2A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(11,922.64)</w:t>
            </w:r>
          </w:p>
        </w:tc>
        <w:tc>
          <w:tcPr>
            <w:tcW w:w="1407" w:type="dxa"/>
            <w:tcBorders>
              <w:top w:val="nil"/>
              <w:left w:val="nil"/>
              <w:bottom w:val="single" w:sz="4" w:space="0" w:color="auto"/>
              <w:right w:val="single" w:sz="4" w:space="0" w:color="auto"/>
            </w:tcBorders>
            <w:shd w:val="clear" w:color="auto" w:fill="auto"/>
            <w:noWrap/>
            <w:vAlign w:val="center"/>
            <w:hideMark/>
          </w:tcPr>
          <w:p w14:paraId="673CB84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4,057.54 </w:t>
            </w:r>
          </w:p>
        </w:tc>
        <w:tc>
          <w:tcPr>
            <w:tcW w:w="1407" w:type="dxa"/>
            <w:tcBorders>
              <w:top w:val="nil"/>
              <w:left w:val="nil"/>
              <w:bottom w:val="single" w:sz="4" w:space="0" w:color="auto"/>
              <w:right w:val="single" w:sz="4" w:space="0" w:color="auto"/>
            </w:tcBorders>
            <w:shd w:val="clear" w:color="auto" w:fill="auto"/>
            <w:noWrap/>
            <w:vAlign w:val="center"/>
            <w:hideMark/>
          </w:tcPr>
          <w:p w14:paraId="1F7599CA"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76,064.00 </w:t>
            </w:r>
          </w:p>
        </w:tc>
        <w:tc>
          <w:tcPr>
            <w:tcW w:w="1407" w:type="dxa"/>
            <w:tcBorders>
              <w:top w:val="nil"/>
              <w:left w:val="nil"/>
              <w:bottom w:val="single" w:sz="4" w:space="0" w:color="auto"/>
              <w:right w:val="single" w:sz="4" w:space="0" w:color="auto"/>
            </w:tcBorders>
            <w:shd w:val="clear" w:color="auto" w:fill="auto"/>
            <w:noWrap/>
            <w:vAlign w:val="center"/>
            <w:hideMark/>
          </w:tcPr>
          <w:p w14:paraId="7D999DBD"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40,102.20 </w:t>
            </w:r>
          </w:p>
        </w:tc>
        <w:tc>
          <w:tcPr>
            <w:tcW w:w="1407" w:type="dxa"/>
            <w:tcBorders>
              <w:top w:val="nil"/>
              <w:left w:val="nil"/>
              <w:bottom w:val="single" w:sz="4" w:space="0" w:color="auto"/>
              <w:right w:val="single" w:sz="4" w:space="0" w:color="auto"/>
            </w:tcBorders>
            <w:shd w:val="clear" w:color="auto" w:fill="auto"/>
            <w:noWrap/>
            <w:vAlign w:val="center"/>
            <w:hideMark/>
          </w:tcPr>
          <w:p w14:paraId="0945672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17,549.80 </w:t>
            </w:r>
          </w:p>
        </w:tc>
        <w:tc>
          <w:tcPr>
            <w:tcW w:w="1407" w:type="dxa"/>
            <w:tcBorders>
              <w:top w:val="nil"/>
              <w:left w:val="nil"/>
              <w:bottom w:val="single" w:sz="4" w:space="0" w:color="auto"/>
              <w:right w:val="single" w:sz="4" w:space="0" w:color="auto"/>
            </w:tcBorders>
            <w:shd w:val="clear" w:color="auto" w:fill="auto"/>
            <w:noWrap/>
            <w:vAlign w:val="center"/>
            <w:hideMark/>
          </w:tcPr>
          <w:p w14:paraId="46940B94"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23,940.70 </w:t>
            </w:r>
          </w:p>
        </w:tc>
        <w:tc>
          <w:tcPr>
            <w:tcW w:w="1407" w:type="dxa"/>
            <w:tcBorders>
              <w:top w:val="nil"/>
              <w:left w:val="nil"/>
              <w:bottom w:val="single" w:sz="4" w:space="0" w:color="auto"/>
              <w:right w:val="single" w:sz="4" w:space="0" w:color="auto"/>
            </w:tcBorders>
            <w:shd w:val="clear" w:color="auto" w:fill="auto"/>
            <w:noWrap/>
            <w:vAlign w:val="center"/>
            <w:hideMark/>
          </w:tcPr>
          <w:p w14:paraId="388D0BA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23,940.70 </w:t>
            </w:r>
          </w:p>
        </w:tc>
        <w:tc>
          <w:tcPr>
            <w:tcW w:w="1572" w:type="dxa"/>
            <w:tcBorders>
              <w:top w:val="nil"/>
              <w:left w:val="nil"/>
              <w:bottom w:val="single" w:sz="4" w:space="0" w:color="auto"/>
              <w:right w:val="single" w:sz="4" w:space="0" w:color="auto"/>
            </w:tcBorders>
            <w:shd w:val="clear" w:color="auto" w:fill="auto"/>
            <w:noWrap/>
            <w:vAlign w:val="center"/>
            <w:hideMark/>
          </w:tcPr>
          <w:p w14:paraId="1603D15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(113,434.30)</w:t>
            </w:r>
          </w:p>
        </w:tc>
        <w:tc>
          <w:tcPr>
            <w:tcW w:w="1434" w:type="dxa"/>
            <w:tcBorders>
              <w:top w:val="nil"/>
              <w:left w:val="nil"/>
              <w:bottom w:val="single" w:sz="4" w:space="0" w:color="auto"/>
              <w:right w:val="single" w:sz="4" w:space="0" w:color="auto"/>
            </w:tcBorders>
            <w:shd w:val="clear" w:color="auto" w:fill="auto"/>
            <w:noWrap/>
            <w:vAlign w:val="center"/>
            <w:hideMark/>
          </w:tcPr>
          <w:p w14:paraId="2B81E24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(32,309.30)</w:t>
            </w:r>
          </w:p>
        </w:tc>
        <w:tc>
          <w:tcPr>
            <w:tcW w:w="1434" w:type="dxa"/>
            <w:tcBorders>
              <w:top w:val="nil"/>
              <w:left w:val="nil"/>
              <w:bottom w:val="single" w:sz="4" w:space="0" w:color="auto"/>
              <w:right w:val="single" w:sz="4" w:space="0" w:color="auto"/>
            </w:tcBorders>
            <w:shd w:val="clear" w:color="auto" w:fill="auto"/>
            <w:noWrap/>
            <w:vAlign w:val="center"/>
            <w:hideMark/>
          </w:tcPr>
          <w:p w14:paraId="30D1723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(11,559.30)</w:t>
            </w:r>
          </w:p>
        </w:tc>
      </w:tr>
      <w:tr w:rsidR="00761FE6" w:rsidRPr="00761FE6" w14:paraId="0700280A" w14:textId="77777777" w:rsidTr="00761FE6">
        <w:trPr>
          <w:trHeight w:val="320"/>
        </w:trPr>
        <w:tc>
          <w:tcPr>
            <w:tcW w:w="392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2693C" w14:textId="77777777" w:rsidR="00761FE6" w:rsidRPr="00761FE6" w:rsidRDefault="00761FE6" w:rsidP="00761FE6">
            <w:pPr>
              <w:jc w:val="center"/>
              <w:rPr>
                <w:rFonts w:ascii="微软雅黑" w:eastAsia="微软雅黑" w:hAnsi="微软雅黑"/>
                <w:b/>
                <w:bCs/>
                <w:color w:val="000000"/>
                <w:sz w:val="18"/>
                <w:szCs w:val="18"/>
              </w:rPr>
            </w:pPr>
            <w:r w:rsidRPr="00761FE6">
              <w:rPr>
                <w:rFonts w:ascii="微软雅黑" w:eastAsia="微软雅黑" w:hAnsi="微软雅黑" w:hint="eastAsia"/>
                <w:b/>
                <w:bCs/>
                <w:color w:val="000000"/>
                <w:sz w:val="18"/>
                <w:szCs w:val="18"/>
              </w:rPr>
              <w:t>累计现金流量（项目）</w:t>
            </w:r>
          </w:p>
        </w:tc>
        <w:tc>
          <w:tcPr>
            <w:tcW w:w="1407" w:type="dxa"/>
            <w:tcBorders>
              <w:top w:val="nil"/>
              <w:left w:val="nil"/>
              <w:bottom w:val="single" w:sz="4" w:space="0" w:color="auto"/>
              <w:right w:val="single" w:sz="4" w:space="0" w:color="auto"/>
            </w:tcBorders>
            <w:shd w:val="clear" w:color="auto" w:fill="auto"/>
            <w:noWrap/>
            <w:vAlign w:val="center"/>
            <w:hideMark/>
          </w:tcPr>
          <w:p w14:paraId="6FEBE7CE"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76,664.00 </w:t>
            </w:r>
          </w:p>
        </w:tc>
        <w:tc>
          <w:tcPr>
            <w:tcW w:w="1407" w:type="dxa"/>
            <w:tcBorders>
              <w:top w:val="nil"/>
              <w:left w:val="nil"/>
              <w:bottom w:val="single" w:sz="4" w:space="0" w:color="auto"/>
              <w:right w:val="single" w:sz="4" w:space="0" w:color="auto"/>
            </w:tcBorders>
            <w:shd w:val="clear" w:color="000000" w:fill="FFFFFF"/>
            <w:noWrap/>
            <w:vAlign w:val="center"/>
            <w:hideMark/>
          </w:tcPr>
          <w:p w14:paraId="4828AED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121,833.00 </w:t>
            </w:r>
          </w:p>
        </w:tc>
        <w:tc>
          <w:tcPr>
            <w:tcW w:w="1407" w:type="dxa"/>
            <w:tcBorders>
              <w:top w:val="nil"/>
              <w:left w:val="nil"/>
              <w:bottom w:val="single" w:sz="4" w:space="0" w:color="auto"/>
              <w:right w:val="single" w:sz="4" w:space="0" w:color="auto"/>
            </w:tcBorders>
            <w:shd w:val="clear" w:color="000000" w:fill="FFFFFF"/>
            <w:noWrap/>
            <w:vAlign w:val="center"/>
            <w:hideMark/>
          </w:tcPr>
          <w:p w14:paraId="5BC8424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133,018.00 </w:t>
            </w:r>
          </w:p>
        </w:tc>
        <w:tc>
          <w:tcPr>
            <w:tcW w:w="1407" w:type="dxa"/>
            <w:tcBorders>
              <w:top w:val="nil"/>
              <w:left w:val="nil"/>
              <w:bottom w:val="single" w:sz="4" w:space="0" w:color="auto"/>
              <w:right w:val="single" w:sz="4" w:space="0" w:color="auto"/>
            </w:tcBorders>
            <w:shd w:val="clear" w:color="000000" w:fill="FFFFFF"/>
            <w:noWrap/>
            <w:vAlign w:val="center"/>
            <w:hideMark/>
          </w:tcPr>
          <w:p w14:paraId="2CA26A6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131,055.36 </w:t>
            </w:r>
          </w:p>
        </w:tc>
        <w:tc>
          <w:tcPr>
            <w:tcW w:w="1407" w:type="dxa"/>
            <w:tcBorders>
              <w:top w:val="nil"/>
              <w:left w:val="nil"/>
              <w:bottom w:val="single" w:sz="4" w:space="0" w:color="auto"/>
              <w:right w:val="single" w:sz="4" w:space="0" w:color="auto"/>
            </w:tcBorders>
            <w:shd w:val="clear" w:color="000000" w:fill="FFFFFF"/>
            <w:noWrap/>
            <w:vAlign w:val="center"/>
            <w:hideMark/>
          </w:tcPr>
          <w:p w14:paraId="6DD94430"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184,094.90 </w:t>
            </w:r>
          </w:p>
        </w:tc>
        <w:tc>
          <w:tcPr>
            <w:tcW w:w="1434" w:type="dxa"/>
            <w:tcBorders>
              <w:top w:val="nil"/>
              <w:left w:val="nil"/>
              <w:bottom w:val="single" w:sz="4" w:space="0" w:color="auto"/>
              <w:right w:val="single" w:sz="4" w:space="0" w:color="auto"/>
            </w:tcBorders>
            <w:shd w:val="clear" w:color="000000" w:fill="FFFFFF"/>
            <w:noWrap/>
            <w:vAlign w:val="center"/>
            <w:hideMark/>
          </w:tcPr>
          <w:p w14:paraId="4319E3E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172,172.26 </w:t>
            </w:r>
          </w:p>
        </w:tc>
        <w:tc>
          <w:tcPr>
            <w:tcW w:w="1407" w:type="dxa"/>
            <w:tcBorders>
              <w:top w:val="nil"/>
              <w:left w:val="nil"/>
              <w:bottom w:val="single" w:sz="4" w:space="0" w:color="auto"/>
              <w:right w:val="single" w:sz="4" w:space="0" w:color="auto"/>
            </w:tcBorders>
            <w:shd w:val="clear" w:color="000000" w:fill="E7E6E6"/>
            <w:noWrap/>
            <w:vAlign w:val="center"/>
            <w:hideMark/>
          </w:tcPr>
          <w:p w14:paraId="53497939"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176,229.80 </w:t>
            </w:r>
          </w:p>
        </w:tc>
        <w:tc>
          <w:tcPr>
            <w:tcW w:w="1407" w:type="dxa"/>
            <w:tcBorders>
              <w:top w:val="nil"/>
              <w:left w:val="nil"/>
              <w:bottom w:val="single" w:sz="4" w:space="0" w:color="auto"/>
              <w:right w:val="single" w:sz="4" w:space="0" w:color="auto"/>
            </w:tcBorders>
            <w:shd w:val="clear" w:color="000000" w:fill="E7E6E6"/>
            <w:noWrap/>
            <w:vAlign w:val="center"/>
            <w:hideMark/>
          </w:tcPr>
          <w:p w14:paraId="44BC6B27"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252,293.80 </w:t>
            </w:r>
          </w:p>
        </w:tc>
        <w:tc>
          <w:tcPr>
            <w:tcW w:w="1407" w:type="dxa"/>
            <w:tcBorders>
              <w:top w:val="nil"/>
              <w:left w:val="nil"/>
              <w:bottom w:val="single" w:sz="4" w:space="0" w:color="auto"/>
              <w:right w:val="single" w:sz="4" w:space="0" w:color="auto"/>
            </w:tcBorders>
            <w:shd w:val="clear" w:color="000000" w:fill="E7E6E6"/>
            <w:noWrap/>
            <w:vAlign w:val="center"/>
            <w:hideMark/>
          </w:tcPr>
          <w:p w14:paraId="0B67A325"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292,396.00 </w:t>
            </w:r>
          </w:p>
        </w:tc>
        <w:tc>
          <w:tcPr>
            <w:tcW w:w="1407" w:type="dxa"/>
            <w:tcBorders>
              <w:top w:val="nil"/>
              <w:left w:val="nil"/>
              <w:bottom w:val="single" w:sz="4" w:space="0" w:color="auto"/>
              <w:right w:val="single" w:sz="4" w:space="0" w:color="auto"/>
            </w:tcBorders>
            <w:shd w:val="clear" w:color="000000" w:fill="E7E6E6"/>
            <w:noWrap/>
            <w:vAlign w:val="center"/>
            <w:hideMark/>
          </w:tcPr>
          <w:p w14:paraId="21EA6C1B"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309,945.80 </w:t>
            </w:r>
          </w:p>
        </w:tc>
        <w:tc>
          <w:tcPr>
            <w:tcW w:w="1407" w:type="dxa"/>
            <w:tcBorders>
              <w:top w:val="nil"/>
              <w:left w:val="nil"/>
              <w:bottom w:val="single" w:sz="4" w:space="0" w:color="auto"/>
              <w:right w:val="single" w:sz="4" w:space="0" w:color="auto"/>
            </w:tcBorders>
            <w:shd w:val="clear" w:color="000000" w:fill="E7E6E6"/>
            <w:noWrap/>
            <w:vAlign w:val="center"/>
            <w:hideMark/>
          </w:tcPr>
          <w:p w14:paraId="3941FAFC"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333,886.50 </w:t>
            </w:r>
          </w:p>
        </w:tc>
        <w:tc>
          <w:tcPr>
            <w:tcW w:w="1407" w:type="dxa"/>
            <w:tcBorders>
              <w:top w:val="nil"/>
              <w:left w:val="nil"/>
              <w:bottom w:val="single" w:sz="4" w:space="0" w:color="auto"/>
              <w:right w:val="single" w:sz="4" w:space="0" w:color="auto"/>
            </w:tcBorders>
            <w:shd w:val="clear" w:color="000000" w:fill="E7E6E6"/>
            <w:noWrap/>
            <w:vAlign w:val="center"/>
            <w:hideMark/>
          </w:tcPr>
          <w:p w14:paraId="334671B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357,827.20 </w:t>
            </w:r>
          </w:p>
        </w:tc>
        <w:tc>
          <w:tcPr>
            <w:tcW w:w="1572" w:type="dxa"/>
            <w:tcBorders>
              <w:top w:val="nil"/>
              <w:left w:val="nil"/>
              <w:bottom w:val="single" w:sz="4" w:space="0" w:color="auto"/>
              <w:right w:val="single" w:sz="4" w:space="0" w:color="auto"/>
            </w:tcBorders>
            <w:shd w:val="clear" w:color="000000" w:fill="E7E6E6"/>
            <w:noWrap/>
            <w:vAlign w:val="center"/>
            <w:hideMark/>
          </w:tcPr>
          <w:p w14:paraId="308516A1"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244,392.90 </w:t>
            </w:r>
          </w:p>
        </w:tc>
        <w:tc>
          <w:tcPr>
            <w:tcW w:w="1434" w:type="dxa"/>
            <w:tcBorders>
              <w:top w:val="nil"/>
              <w:left w:val="nil"/>
              <w:bottom w:val="single" w:sz="4" w:space="0" w:color="auto"/>
              <w:right w:val="single" w:sz="4" w:space="0" w:color="auto"/>
            </w:tcBorders>
            <w:shd w:val="clear" w:color="000000" w:fill="E7E6E6"/>
            <w:noWrap/>
            <w:vAlign w:val="center"/>
            <w:hideMark/>
          </w:tcPr>
          <w:p w14:paraId="7CC1EB36"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212,083.60 </w:t>
            </w:r>
          </w:p>
        </w:tc>
        <w:tc>
          <w:tcPr>
            <w:tcW w:w="1434" w:type="dxa"/>
            <w:tcBorders>
              <w:top w:val="nil"/>
              <w:left w:val="nil"/>
              <w:bottom w:val="single" w:sz="4" w:space="0" w:color="auto"/>
              <w:right w:val="single" w:sz="4" w:space="0" w:color="auto"/>
            </w:tcBorders>
            <w:shd w:val="clear" w:color="000000" w:fill="E7E6E6"/>
            <w:noWrap/>
            <w:vAlign w:val="center"/>
            <w:hideMark/>
          </w:tcPr>
          <w:p w14:paraId="366976D2" w14:textId="77777777" w:rsidR="00761FE6" w:rsidRPr="00761FE6" w:rsidRDefault="00761FE6" w:rsidP="00761FE6">
            <w:pPr>
              <w:jc w:val="center"/>
              <w:rPr>
                <w:rFonts w:ascii="Arial" w:eastAsia="DengXian" w:hAnsi="Arial" w:cs="Arial"/>
                <w:b/>
                <w:bCs/>
                <w:color w:val="000000"/>
                <w:sz w:val="18"/>
                <w:szCs w:val="18"/>
              </w:rPr>
            </w:pPr>
            <w:r w:rsidRPr="00761FE6">
              <w:rPr>
                <w:rFonts w:ascii="Arial" w:eastAsia="DengXian" w:hAnsi="Arial" w:cs="Arial"/>
                <w:b/>
                <w:bCs/>
                <w:color w:val="000000"/>
                <w:sz w:val="18"/>
                <w:szCs w:val="18"/>
              </w:rPr>
              <w:t xml:space="preserve"> 200,524.30 </w:t>
            </w:r>
          </w:p>
        </w:tc>
      </w:tr>
    </w:tbl>
    <w:p w14:paraId="017576CE" w14:textId="77777777" w:rsidR="009B7F1C" w:rsidRPr="009B7F1C" w:rsidRDefault="009B7F1C" w:rsidP="009B7F1C"/>
    <w:p w14:paraId="501F20EE" w14:textId="06D187DC" w:rsidR="00290CE5" w:rsidRDefault="00B63664" w:rsidP="002A2DB5">
      <w:pPr>
        <w:pStyle w:val="1"/>
        <w:spacing w:line="360" w:lineRule="auto"/>
        <w:rPr>
          <w:rFonts w:ascii="FangSong" w:eastAsia="FangSong" w:hAnsi="FangSong"/>
        </w:rPr>
      </w:pPr>
      <w:bookmarkStart w:id="44" w:name="_Toc24893546"/>
      <w:r w:rsidRPr="002A2DB5">
        <w:rPr>
          <w:rFonts w:ascii="FangSong" w:eastAsia="FangSong" w:hAnsi="FangSong" w:hint="eastAsia"/>
        </w:rPr>
        <w:t>十三、</w:t>
      </w:r>
      <w:r w:rsidR="00290CE5" w:rsidRPr="002A2DB5">
        <w:rPr>
          <w:rFonts w:ascii="FangSong" w:eastAsia="FangSong" w:hAnsi="FangSong" w:hint="eastAsia"/>
        </w:rPr>
        <w:t>融资</w:t>
      </w:r>
      <w:r w:rsidR="00E06C0E" w:rsidRPr="002A2DB5">
        <w:rPr>
          <w:rFonts w:ascii="FangSong" w:eastAsia="FangSong" w:hAnsi="FangSong" w:hint="eastAsia"/>
        </w:rPr>
        <w:t>安排</w:t>
      </w:r>
      <w:bookmarkEnd w:id="44"/>
    </w:p>
    <w:p w14:paraId="583BA6A4" w14:textId="2A2D3130" w:rsidR="001B7AD8" w:rsidRDefault="001B7AD8" w:rsidP="001B7AD8">
      <w:pPr>
        <w:pStyle w:val="2"/>
        <w:spacing w:line="360" w:lineRule="auto"/>
        <w:rPr>
          <w:rFonts w:ascii="FangSong" w:eastAsia="FangSong" w:hAnsi="FangSong"/>
        </w:rPr>
      </w:pPr>
      <w:bookmarkStart w:id="45" w:name="_Toc24893547"/>
      <w:r w:rsidRPr="002A2DB5">
        <w:rPr>
          <w:rFonts w:ascii="FangSong" w:eastAsia="FangSong" w:hAnsi="FangSong" w:hint="eastAsia"/>
        </w:rPr>
        <w:t>1</w:t>
      </w:r>
      <w:r>
        <w:rPr>
          <w:rFonts w:ascii="FangSong" w:eastAsia="FangSong" w:hAnsi="FangSong" w:hint="eastAsia"/>
        </w:rPr>
        <w:t>3</w:t>
      </w:r>
      <w:r w:rsidRPr="002A2DB5">
        <w:rPr>
          <w:rFonts w:ascii="FangSong" w:eastAsia="FangSong" w:hAnsi="FangSong" w:hint="eastAsia"/>
        </w:rPr>
        <w:t>.</w:t>
      </w:r>
      <w:r>
        <w:rPr>
          <w:rFonts w:ascii="FangSong" w:eastAsia="FangSong" w:hAnsi="FangSong" w:hint="eastAsia"/>
        </w:rPr>
        <w:t>1融资规划</w:t>
      </w:r>
      <w:bookmarkEnd w:id="45"/>
    </w:p>
    <w:p w14:paraId="4A75C72B" w14:textId="4B9E04CA" w:rsidR="00B66C5A" w:rsidRPr="00265078" w:rsidRDefault="00B66C5A" w:rsidP="00B66C5A">
      <w:pPr>
        <w:ind w:left="720"/>
        <w:rPr>
          <w:rFonts w:ascii="FangSong" w:eastAsia="FangSong" w:hAnsi="FangSong"/>
          <w:bCs/>
          <w:sz w:val="28"/>
          <w:szCs w:val="28"/>
        </w:rPr>
      </w:pPr>
      <w:r w:rsidRPr="00265078">
        <w:rPr>
          <w:rFonts w:ascii="FangSong" w:eastAsia="FangSong" w:hAnsi="FangSong" w:hint="eastAsia"/>
          <w:sz w:val="28"/>
          <w:szCs w:val="28"/>
        </w:rPr>
        <w:t>本项目</w:t>
      </w:r>
      <w:r w:rsidR="00AF01A2" w:rsidRPr="00265078">
        <w:rPr>
          <w:rFonts w:ascii="FangSong" w:eastAsia="FangSong" w:hAnsi="FangSong"/>
          <w:bCs/>
          <w:sz w:val="28"/>
          <w:szCs w:val="28"/>
        </w:rPr>
        <w:t>拟向金融机构申请</w:t>
      </w:r>
      <w:r w:rsidR="00761FE6">
        <w:rPr>
          <w:rFonts w:ascii="FangSong" w:eastAsia="FangSong" w:hAnsi="FangSong" w:hint="eastAsia"/>
          <w:bCs/>
          <w:sz w:val="28"/>
          <w:szCs w:val="28"/>
        </w:rPr>
        <w:t>24</w:t>
      </w:r>
      <w:r w:rsidR="00AF01A2" w:rsidRPr="00265078">
        <w:rPr>
          <w:rFonts w:ascii="FangSong" w:eastAsia="FangSong" w:hAnsi="FangSong"/>
          <w:bCs/>
          <w:sz w:val="28"/>
          <w:szCs w:val="28"/>
        </w:rPr>
        <w:t>亿元借款，占总投的</w:t>
      </w:r>
      <w:r w:rsidR="00761FE6">
        <w:rPr>
          <w:rFonts w:ascii="FangSong" w:eastAsia="FangSong" w:hAnsi="FangSong" w:hint="eastAsia"/>
          <w:bCs/>
          <w:sz w:val="28"/>
          <w:szCs w:val="28"/>
        </w:rPr>
        <w:t>48</w:t>
      </w:r>
      <w:r w:rsidR="00AF01A2" w:rsidRPr="00265078">
        <w:rPr>
          <w:rFonts w:ascii="FangSong" w:eastAsia="FangSong" w:hAnsi="FangSong"/>
          <w:bCs/>
          <w:sz w:val="28"/>
          <w:szCs w:val="28"/>
        </w:rPr>
        <w:t>%，符合</w:t>
      </w:r>
    </w:p>
    <w:p w14:paraId="0B0A56D5" w14:textId="70417E70" w:rsidR="00B66C5A" w:rsidRPr="00265078" w:rsidRDefault="00AF01A2" w:rsidP="00B66C5A">
      <w:pPr>
        <w:rPr>
          <w:rFonts w:ascii="FangSong" w:eastAsia="FangSong" w:hAnsi="FangSong"/>
          <w:bCs/>
          <w:sz w:val="28"/>
          <w:szCs w:val="28"/>
        </w:rPr>
      </w:pPr>
      <w:r w:rsidRPr="00265078">
        <w:rPr>
          <w:rFonts w:ascii="FangSong" w:eastAsia="FangSong" w:hAnsi="FangSong"/>
          <w:bCs/>
          <w:sz w:val="28"/>
          <w:szCs w:val="28"/>
        </w:rPr>
        <w:lastRenderedPageBreak/>
        <w:t>房地产开发贷款政策</w:t>
      </w:r>
      <w:r w:rsidR="00B66C5A" w:rsidRPr="00265078">
        <w:rPr>
          <w:rFonts w:ascii="FangSong" w:eastAsia="FangSong" w:hAnsi="FangSong" w:hint="eastAsia"/>
          <w:bCs/>
          <w:sz w:val="28"/>
          <w:szCs w:val="28"/>
        </w:rPr>
        <w:t>。</w:t>
      </w:r>
      <w:r w:rsidR="00265078" w:rsidRPr="00265078">
        <w:rPr>
          <w:rFonts w:ascii="FangSong" w:eastAsia="FangSong" w:hAnsi="FangSong" w:hint="eastAsia"/>
          <w:bCs/>
          <w:sz w:val="28"/>
          <w:szCs w:val="28"/>
        </w:rPr>
        <w:t>根据抵押物评估价值，采取边建设、边评估、边抵押、边分次放款的方式，保证项目建设资金到位，有效运转。</w:t>
      </w:r>
      <w:r w:rsidRPr="00265078">
        <w:rPr>
          <w:rFonts w:ascii="FangSong" w:eastAsia="FangSong" w:hAnsi="FangSong"/>
          <w:bCs/>
          <w:sz w:val="28"/>
          <w:szCs w:val="28"/>
        </w:rPr>
        <w:t>保守估计，按照</w:t>
      </w:r>
      <w:r w:rsidR="00B66C5A" w:rsidRPr="00265078">
        <w:rPr>
          <w:rFonts w:ascii="FangSong" w:eastAsia="FangSong" w:hAnsi="FangSong" w:hint="eastAsia"/>
          <w:bCs/>
          <w:sz w:val="28"/>
          <w:szCs w:val="28"/>
        </w:rPr>
        <w:t>期限</w:t>
      </w:r>
      <w:r w:rsidR="00740AA0">
        <w:rPr>
          <w:rFonts w:ascii="FangSong" w:eastAsia="FangSong" w:hAnsi="FangSong" w:hint="eastAsia"/>
          <w:bCs/>
          <w:sz w:val="28"/>
          <w:szCs w:val="28"/>
        </w:rPr>
        <w:t>3.5</w:t>
      </w:r>
      <w:r w:rsidR="00B66C5A" w:rsidRPr="00265078">
        <w:rPr>
          <w:rFonts w:ascii="FangSong" w:eastAsia="FangSong" w:hAnsi="FangSong" w:hint="eastAsia"/>
          <w:bCs/>
          <w:sz w:val="28"/>
          <w:szCs w:val="28"/>
        </w:rPr>
        <w:t>年，</w:t>
      </w:r>
      <w:r w:rsidRPr="00265078">
        <w:rPr>
          <w:rFonts w:ascii="FangSong" w:eastAsia="FangSong" w:hAnsi="FangSong"/>
          <w:bCs/>
          <w:sz w:val="28"/>
          <w:szCs w:val="28"/>
        </w:rPr>
        <w:t>年化</w:t>
      </w:r>
      <w:r w:rsidR="00761FE6">
        <w:rPr>
          <w:rFonts w:ascii="FangSong" w:eastAsia="FangSong" w:hAnsi="FangSong" w:hint="eastAsia"/>
          <w:bCs/>
          <w:sz w:val="28"/>
          <w:szCs w:val="28"/>
        </w:rPr>
        <w:t>7.5</w:t>
      </w:r>
      <w:r w:rsidRPr="00265078">
        <w:rPr>
          <w:rFonts w:ascii="FangSong" w:eastAsia="FangSong" w:hAnsi="FangSong"/>
          <w:bCs/>
          <w:sz w:val="28"/>
          <w:szCs w:val="28"/>
        </w:rPr>
        <w:t>%预估财务费用</w:t>
      </w:r>
      <w:r w:rsidR="00265078" w:rsidRPr="00265078">
        <w:rPr>
          <w:rFonts w:ascii="FangSong" w:eastAsia="FangSong" w:hAnsi="FangSong" w:hint="eastAsia"/>
          <w:bCs/>
          <w:sz w:val="28"/>
          <w:szCs w:val="28"/>
        </w:rPr>
        <w:t>，预估财务费用</w:t>
      </w:r>
      <w:r w:rsidR="00761FE6">
        <w:rPr>
          <w:rFonts w:ascii="FangSong" w:eastAsia="FangSong" w:hAnsi="FangSong" w:hint="eastAsia"/>
          <w:bCs/>
          <w:sz w:val="28"/>
          <w:szCs w:val="28"/>
        </w:rPr>
        <w:t>51375</w:t>
      </w:r>
      <w:r w:rsidR="00265078" w:rsidRPr="00265078">
        <w:rPr>
          <w:rFonts w:ascii="FangSong" w:eastAsia="FangSong" w:hAnsi="FangSong" w:hint="eastAsia"/>
          <w:bCs/>
          <w:sz w:val="28"/>
          <w:szCs w:val="28"/>
        </w:rPr>
        <w:t>万元。</w:t>
      </w:r>
    </w:p>
    <w:p w14:paraId="6038D572" w14:textId="58277ADE" w:rsidR="001B7AD8" w:rsidRDefault="001B7AD8" w:rsidP="001B7AD8">
      <w:pPr>
        <w:pStyle w:val="2"/>
        <w:spacing w:line="360" w:lineRule="auto"/>
        <w:rPr>
          <w:rFonts w:ascii="FangSong" w:eastAsia="FangSong" w:hAnsi="FangSong"/>
        </w:rPr>
      </w:pPr>
      <w:bookmarkStart w:id="46" w:name="_Toc24893548"/>
      <w:r w:rsidRPr="002A2DB5">
        <w:rPr>
          <w:rFonts w:ascii="FangSong" w:eastAsia="FangSong" w:hAnsi="FangSong" w:hint="eastAsia"/>
        </w:rPr>
        <w:t>1</w:t>
      </w:r>
      <w:r>
        <w:rPr>
          <w:rFonts w:ascii="FangSong" w:eastAsia="FangSong" w:hAnsi="FangSong" w:hint="eastAsia"/>
        </w:rPr>
        <w:t>3</w:t>
      </w:r>
      <w:r w:rsidRPr="002A2DB5">
        <w:rPr>
          <w:rFonts w:ascii="FangSong" w:eastAsia="FangSong" w:hAnsi="FangSong" w:hint="eastAsia"/>
        </w:rPr>
        <w:t>.</w:t>
      </w:r>
      <w:r>
        <w:rPr>
          <w:rFonts w:ascii="FangSong" w:eastAsia="FangSong" w:hAnsi="FangSong" w:hint="eastAsia"/>
        </w:rPr>
        <w:t>2还款计划</w:t>
      </w:r>
      <w:bookmarkEnd w:id="46"/>
    </w:p>
    <w:p w14:paraId="69E442AE" w14:textId="2A79B58B" w:rsidR="00265078" w:rsidRDefault="00265078" w:rsidP="00265078">
      <w:pPr>
        <w:ind w:firstLine="840"/>
        <w:rPr>
          <w:rFonts w:ascii="FangSong" w:eastAsia="FangSong" w:hAnsi="FangSong"/>
          <w:sz w:val="28"/>
          <w:szCs w:val="28"/>
        </w:rPr>
      </w:pPr>
      <w:r w:rsidRPr="00265078">
        <w:rPr>
          <w:rFonts w:ascii="FangSong" w:eastAsia="FangSong" w:hAnsi="FangSong" w:hint="eastAsia"/>
          <w:sz w:val="28"/>
          <w:szCs w:val="28"/>
        </w:rPr>
        <w:t>项目实现销售后开始启动还款。从202</w:t>
      </w:r>
      <w:r w:rsidR="003033F6">
        <w:rPr>
          <w:rFonts w:ascii="FangSong" w:eastAsia="FangSong" w:hAnsi="FangSong" w:hint="eastAsia"/>
          <w:sz w:val="28"/>
          <w:szCs w:val="28"/>
        </w:rPr>
        <w:t>2</w:t>
      </w:r>
      <w:r w:rsidRPr="00265078">
        <w:rPr>
          <w:rFonts w:ascii="FangSong" w:eastAsia="FangSong" w:hAnsi="FangSong" w:hint="eastAsia"/>
          <w:sz w:val="28"/>
          <w:szCs w:val="28"/>
        </w:rPr>
        <w:t>年第</w:t>
      </w:r>
      <w:r w:rsidR="003033F6">
        <w:rPr>
          <w:rFonts w:ascii="FangSong" w:eastAsia="FangSong" w:hAnsi="FangSong" w:hint="eastAsia"/>
          <w:sz w:val="28"/>
          <w:szCs w:val="28"/>
        </w:rPr>
        <w:t>四</w:t>
      </w:r>
      <w:r w:rsidRPr="00265078">
        <w:rPr>
          <w:rFonts w:ascii="FangSong" w:eastAsia="FangSong" w:hAnsi="FangSong" w:hint="eastAsia"/>
          <w:sz w:val="28"/>
          <w:szCs w:val="28"/>
        </w:rPr>
        <w:t>季度开始偿还。其中：</w:t>
      </w:r>
      <w:r w:rsidR="003033F6" w:rsidRPr="00265078">
        <w:rPr>
          <w:rFonts w:ascii="FangSong" w:eastAsia="FangSong" w:hAnsi="FangSong" w:hint="eastAsia"/>
          <w:sz w:val="28"/>
          <w:szCs w:val="28"/>
        </w:rPr>
        <w:t xml:space="preserve"> </w:t>
      </w:r>
      <w:r w:rsidRPr="00265078">
        <w:rPr>
          <w:rFonts w:ascii="FangSong" w:eastAsia="FangSong" w:hAnsi="FangSong" w:hint="eastAsia"/>
          <w:sz w:val="28"/>
          <w:szCs w:val="28"/>
        </w:rPr>
        <w:t>2022</w:t>
      </w:r>
      <w:r w:rsidR="00740AA0">
        <w:rPr>
          <w:rFonts w:ascii="FangSong" w:eastAsia="FangSong" w:hAnsi="FangSong" w:hint="eastAsia"/>
          <w:sz w:val="28"/>
          <w:szCs w:val="28"/>
        </w:rPr>
        <w:t>年第四</w:t>
      </w:r>
      <w:r w:rsidRPr="00265078">
        <w:rPr>
          <w:rFonts w:ascii="FangSong" w:eastAsia="FangSong" w:hAnsi="FangSong" w:hint="eastAsia"/>
          <w:sz w:val="28"/>
          <w:szCs w:val="28"/>
        </w:rPr>
        <w:t>季度偿还</w:t>
      </w:r>
      <w:r w:rsidR="003033F6">
        <w:rPr>
          <w:rFonts w:ascii="FangSong" w:eastAsia="FangSong" w:hAnsi="FangSong" w:hint="eastAsia"/>
          <w:sz w:val="28"/>
          <w:szCs w:val="28"/>
        </w:rPr>
        <w:t>14</w:t>
      </w:r>
      <w:r>
        <w:rPr>
          <w:rFonts w:ascii="FangSong" w:eastAsia="FangSong" w:hAnsi="FangSong" w:hint="eastAsia"/>
          <w:sz w:val="28"/>
          <w:szCs w:val="28"/>
        </w:rPr>
        <w:t>亿元、</w:t>
      </w:r>
      <w:r w:rsidRPr="00265078">
        <w:rPr>
          <w:rFonts w:ascii="FangSong" w:eastAsia="FangSong" w:hAnsi="FangSong" w:hint="eastAsia"/>
          <w:sz w:val="28"/>
          <w:szCs w:val="28"/>
        </w:rPr>
        <w:t>202</w:t>
      </w:r>
      <w:r w:rsidR="00740AA0">
        <w:rPr>
          <w:rFonts w:ascii="FangSong" w:eastAsia="FangSong" w:hAnsi="FangSong" w:hint="eastAsia"/>
          <w:sz w:val="28"/>
          <w:szCs w:val="28"/>
        </w:rPr>
        <w:t>3</w:t>
      </w:r>
      <w:r w:rsidRPr="00265078">
        <w:rPr>
          <w:rFonts w:ascii="FangSong" w:eastAsia="FangSong" w:hAnsi="FangSong" w:hint="eastAsia"/>
          <w:sz w:val="28"/>
          <w:szCs w:val="28"/>
        </w:rPr>
        <w:t>年第</w:t>
      </w:r>
      <w:r w:rsidR="00740AA0">
        <w:rPr>
          <w:rFonts w:ascii="FangSong" w:eastAsia="FangSong" w:hAnsi="FangSong" w:hint="eastAsia"/>
          <w:sz w:val="28"/>
          <w:szCs w:val="28"/>
        </w:rPr>
        <w:t>一</w:t>
      </w:r>
      <w:r w:rsidRPr="00265078">
        <w:rPr>
          <w:rFonts w:ascii="FangSong" w:eastAsia="FangSong" w:hAnsi="FangSong" w:hint="eastAsia"/>
          <w:sz w:val="28"/>
          <w:szCs w:val="28"/>
        </w:rPr>
        <w:t>季度偿还</w:t>
      </w:r>
      <w:r w:rsidR="009C2D57">
        <w:rPr>
          <w:rFonts w:ascii="FangSong" w:eastAsia="FangSong" w:hAnsi="FangSong" w:hint="eastAsia"/>
          <w:sz w:val="28"/>
          <w:szCs w:val="28"/>
        </w:rPr>
        <w:t>6</w:t>
      </w:r>
      <w:r w:rsidRPr="00265078">
        <w:rPr>
          <w:rFonts w:ascii="FangSong" w:eastAsia="FangSong" w:hAnsi="FangSong" w:hint="eastAsia"/>
          <w:sz w:val="28"/>
          <w:szCs w:val="28"/>
        </w:rPr>
        <w:t>亿元、202</w:t>
      </w:r>
      <w:r w:rsidR="00740AA0">
        <w:rPr>
          <w:rFonts w:ascii="FangSong" w:eastAsia="FangSong" w:hAnsi="FangSong" w:hint="eastAsia"/>
          <w:sz w:val="28"/>
          <w:szCs w:val="28"/>
        </w:rPr>
        <w:t>3</w:t>
      </w:r>
      <w:r w:rsidRPr="00265078">
        <w:rPr>
          <w:rFonts w:ascii="FangSong" w:eastAsia="FangSong" w:hAnsi="FangSong" w:hint="eastAsia"/>
          <w:sz w:val="28"/>
          <w:szCs w:val="28"/>
        </w:rPr>
        <w:t>年第</w:t>
      </w:r>
      <w:r w:rsidR="00740AA0">
        <w:rPr>
          <w:rFonts w:ascii="FangSong" w:eastAsia="FangSong" w:hAnsi="FangSong" w:hint="eastAsia"/>
          <w:sz w:val="28"/>
          <w:szCs w:val="28"/>
        </w:rPr>
        <w:t>一</w:t>
      </w:r>
      <w:r w:rsidRPr="00265078">
        <w:rPr>
          <w:rFonts w:ascii="FangSong" w:eastAsia="FangSong" w:hAnsi="FangSong" w:hint="eastAsia"/>
          <w:sz w:val="28"/>
          <w:szCs w:val="28"/>
        </w:rPr>
        <w:t>季度偿还</w:t>
      </w:r>
      <w:r w:rsidR="009C2D57">
        <w:rPr>
          <w:rFonts w:ascii="FangSong" w:eastAsia="FangSong" w:hAnsi="FangSong" w:hint="eastAsia"/>
          <w:sz w:val="28"/>
          <w:szCs w:val="28"/>
        </w:rPr>
        <w:t>4</w:t>
      </w:r>
      <w:r w:rsidRPr="00265078">
        <w:rPr>
          <w:rFonts w:ascii="FangSong" w:eastAsia="FangSong" w:hAnsi="FangSong" w:hint="eastAsia"/>
          <w:sz w:val="28"/>
          <w:szCs w:val="28"/>
        </w:rPr>
        <w:t>亿元。直至清偿完毕。还款来源主要为可销售房产收入、可销售企业产权收入</w:t>
      </w:r>
      <w:r w:rsidR="00740AA0">
        <w:rPr>
          <w:rFonts w:ascii="FangSong" w:eastAsia="FangSong" w:hAnsi="FangSong" w:hint="eastAsia"/>
          <w:sz w:val="28"/>
          <w:szCs w:val="28"/>
        </w:rPr>
        <w:t>。</w:t>
      </w:r>
    </w:p>
    <w:p w14:paraId="3181B8B7" w14:textId="68871BE7" w:rsidR="00B27D44" w:rsidRDefault="009D68E5" w:rsidP="00B27D44">
      <w:pPr>
        <w:pStyle w:val="2"/>
        <w:spacing w:line="360" w:lineRule="auto"/>
        <w:rPr>
          <w:rFonts w:ascii="FangSong" w:eastAsia="FangSong" w:hAnsi="FangSong"/>
        </w:rPr>
      </w:pPr>
      <w:bookmarkStart w:id="47" w:name="_Toc24893549"/>
      <w:r>
        <w:rPr>
          <w:rFonts w:ascii="FangSong" w:eastAsia="FangSong" w:hAnsi="FangSong" w:hint="eastAsia"/>
        </w:rPr>
        <w:t>13.3</w:t>
      </w:r>
      <w:r w:rsidR="00B27D44">
        <w:rPr>
          <w:rFonts w:ascii="FangSong" w:eastAsia="FangSong" w:hAnsi="FangSong" w:hint="eastAsia"/>
        </w:rPr>
        <w:t>还款来源</w:t>
      </w:r>
      <w:bookmarkEnd w:id="47"/>
    </w:p>
    <w:p w14:paraId="5CA6A996" w14:textId="41655AB8" w:rsidR="003C1D3B" w:rsidRPr="003C1D3B" w:rsidRDefault="003C1D3B" w:rsidP="003C1D3B">
      <w:pPr>
        <w:spacing w:line="220" w:lineRule="atLeast"/>
        <w:rPr>
          <w:rFonts w:ascii="FangSong" w:eastAsia="FangSong" w:hAnsi="FangSong"/>
          <w:sz w:val="28"/>
          <w:szCs w:val="28"/>
        </w:rPr>
      </w:pPr>
      <w:r>
        <w:rPr>
          <w:rFonts w:ascii="FangSong" w:eastAsia="FangSong" w:hAnsi="FangSong" w:hint="eastAsia"/>
          <w:sz w:val="28"/>
          <w:szCs w:val="28"/>
        </w:rPr>
        <w:t xml:space="preserve">    </w:t>
      </w:r>
      <w:r w:rsidRPr="003C1D3B">
        <w:rPr>
          <w:rFonts w:ascii="FangSong" w:eastAsia="FangSong" w:hAnsi="FangSong" w:hint="eastAsia"/>
          <w:sz w:val="28"/>
          <w:szCs w:val="28"/>
        </w:rPr>
        <w:t>“金岸康城”项目一期、二期、三期主要营收项目如下：</w:t>
      </w:r>
    </w:p>
    <w:p w14:paraId="00C4CE2A" w14:textId="77777777" w:rsidR="003C1D3B" w:rsidRPr="003C1D3B" w:rsidRDefault="003C1D3B" w:rsidP="003C1D3B">
      <w:pPr>
        <w:spacing w:line="220" w:lineRule="atLeast"/>
        <w:rPr>
          <w:rFonts w:ascii="FangSong" w:eastAsia="FangSong" w:hAnsi="FangSong"/>
          <w:sz w:val="28"/>
          <w:szCs w:val="28"/>
        </w:rPr>
      </w:pPr>
      <w:r w:rsidRPr="003C1D3B">
        <w:rPr>
          <w:rFonts w:ascii="FangSong" w:eastAsia="FangSong" w:hAnsi="FangSong" w:hint="eastAsia"/>
          <w:sz w:val="28"/>
          <w:szCs w:val="28"/>
        </w:rPr>
        <w:t>1、物业租售</w:t>
      </w:r>
    </w:p>
    <w:p w14:paraId="796AD940" w14:textId="77777777" w:rsidR="00554BF1" w:rsidRDefault="00554BF1" w:rsidP="00554BF1">
      <w:pPr>
        <w:spacing w:line="220" w:lineRule="atLeast"/>
        <w:rPr>
          <w:rFonts w:ascii="FangSong" w:eastAsia="FangSong" w:hAnsi="FangSong"/>
          <w:sz w:val="28"/>
          <w:szCs w:val="28"/>
        </w:rPr>
      </w:pPr>
      <w:r>
        <w:rPr>
          <w:rFonts w:ascii="FangSong" w:eastAsia="FangSong" w:hAnsi="FangSong" w:hint="eastAsia"/>
          <w:sz w:val="28"/>
          <w:szCs w:val="28"/>
        </w:rPr>
        <w:t xml:space="preserve">   </w:t>
      </w:r>
      <w:r w:rsidR="003C1D3B" w:rsidRPr="003C1D3B">
        <w:rPr>
          <w:rFonts w:ascii="FangSong" w:eastAsia="FangSong" w:hAnsi="FangSong" w:hint="eastAsia"/>
          <w:sz w:val="28"/>
          <w:szCs w:val="28"/>
        </w:rPr>
        <w:t>可租售的建筑面积如下：</w:t>
      </w:r>
    </w:p>
    <w:p w14:paraId="5CFFCF37" w14:textId="6BB3C5DA" w:rsidR="003C1D3B" w:rsidRPr="003C1D3B" w:rsidRDefault="003C1D3B" w:rsidP="00554BF1">
      <w:pPr>
        <w:spacing w:line="220" w:lineRule="atLeast"/>
        <w:rPr>
          <w:rFonts w:ascii="FangSong" w:eastAsia="FangSong" w:hAnsi="FangSong"/>
          <w:sz w:val="28"/>
          <w:szCs w:val="28"/>
        </w:rPr>
      </w:pPr>
      <w:r w:rsidRPr="003C1D3B">
        <w:rPr>
          <w:rFonts w:ascii="FangSong" w:eastAsia="FangSong" w:hAnsi="FangSong" w:hint="eastAsia"/>
          <w:sz w:val="28"/>
          <w:szCs w:val="28"/>
        </w:rPr>
        <w:t>（1）一期商业面积43，752平米、酒店面积40,609平方米、公寓面积20,734平米</w:t>
      </w:r>
      <w:r w:rsidR="00554BF1">
        <w:rPr>
          <w:rFonts w:ascii="FangSong" w:eastAsia="FangSong" w:hAnsi="FangSong" w:hint="eastAsia"/>
          <w:sz w:val="28"/>
          <w:szCs w:val="28"/>
        </w:rPr>
        <w:t>；</w:t>
      </w:r>
    </w:p>
    <w:p w14:paraId="5CBD6621" w14:textId="6ABA3188" w:rsidR="003C1D3B" w:rsidRPr="003C1D3B" w:rsidRDefault="003C1D3B" w:rsidP="00554BF1">
      <w:pPr>
        <w:spacing w:line="220" w:lineRule="atLeast"/>
        <w:rPr>
          <w:rFonts w:ascii="FangSong" w:eastAsia="FangSong" w:hAnsi="FangSong"/>
          <w:sz w:val="28"/>
          <w:szCs w:val="28"/>
        </w:rPr>
      </w:pPr>
      <w:r w:rsidRPr="003C1D3B">
        <w:rPr>
          <w:rFonts w:ascii="FangSong" w:eastAsia="FangSong" w:hAnsi="FangSong" w:hint="eastAsia"/>
          <w:sz w:val="28"/>
          <w:szCs w:val="28"/>
        </w:rPr>
        <w:t>（2）二期公寓面积173，480平米</w:t>
      </w:r>
      <w:r w:rsidR="00554BF1">
        <w:rPr>
          <w:rFonts w:ascii="FangSong" w:eastAsia="FangSong" w:hAnsi="FangSong" w:hint="eastAsia"/>
          <w:sz w:val="28"/>
          <w:szCs w:val="28"/>
        </w:rPr>
        <w:t>；</w:t>
      </w:r>
    </w:p>
    <w:p w14:paraId="6903ECC8" w14:textId="040B19A2" w:rsidR="003C1D3B" w:rsidRPr="003C1D3B" w:rsidRDefault="003C1D3B" w:rsidP="00554BF1">
      <w:pPr>
        <w:spacing w:line="220" w:lineRule="atLeast"/>
        <w:rPr>
          <w:rFonts w:ascii="FangSong" w:eastAsia="FangSong" w:hAnsi="FangSong"/>
          <w:sz w:val="28"/>
          <w:szCs w:val="28"/>
        </w:rPr>
      </w:pPr>
      <w:r w:rsidRPr="003C1D3B">
        <w:rPr>
          <w:rFonts w:ascii="FangSong" w:eastAsia="FangSong" w:hAnsi="FangSong" w:hint="eastAsia"/>
          <w:sz w:val="28"/>
          <w:szCs w:val="28"/>
        </w:rPr>
        <w:t>（3）三期公寓面积128，789平米</w:t>
      </w:r>
      <w:r w:rsidR="00554BF1">
        <w:rPr>
          <w:rFonts w:ascii="FangSong" w:eastAsia="FangSong" w:hAnsi="FangSong" w:hint="eastAsia"/>
          <w:sz w:val="28"/>
          <w:szCs w:val="28"/>
        </w:rPr>
        <w:t>；</w:t>
      </w:r>
    </w:p>
    <w:p w14:paraId="569FAAF8" w14:textId="77777777" w:rsidR="003C1D3B" w:rsidRPr="00554BF1" w:rsidRDefault="003C1D3B" w:rsidP="003C1D3B">
      <w:pPr>
        <w:spacing w:line="220" w:lineRule="atLeast"/>
        <w:ind w:firstLineChars="100" w:firstLine="280"/>
        <w:rPr>
          <w:rFonts w:ascii="FangSong" w:eastAsia="FangSong" w:hAnsi="FangSong"/>
          <w:bCs/>
          <w:sz w:val="28"/>
          <w:szCs w:val="28"/>
        </w:rPr>
      </w:pPr>
      <w:r w:rsidRPr="00554BF1">
        <w:rPr>
          <w:rFonts w:ascii="FangSong" w:eastAsia="FangSong" w:hAnsi="FangSong" w:hint="eastAsia"/>
          <w:bCs/>
          <w:sz w:val="28"/>
          <w:szCs w:val="28"/>
        </w:rPr>
        <w:t>综上，可租售的公寓面积323,003平米；可租售的商业面积为43，752平米；可租售的酒店面积为40,609平方米。</w:t>
      </w:r>
    </w:p>
    <w:p w14:paraId="7A924921" w14:textId="546BC8F8" w:rsidR="003C1D3B" w:rsidRPr="00554BF1" w:rsidRDefault="003C1D3B" w:rsidP="00554BF1">
      <w:pPr>
        <w:spacing w:line="220" w:lineRule="atLeast"/>
        <w:ind w:firstLineChars="100" w:firstLine="280"/>
        <w:rPr>
          <w:rFonts w:ascii="FangSong" w:eastAsia="FangSong" w:hAnsi="FangSong"/>
          <w:bCs/>
          <w:sz w:val="28"/>
          <w:szCs w:val="28"/>
        </w:rPr>
      </w:pPr>
      <w:r w:rsidRPr="00554BF1">
        <w:rPr>
          <w:rFonts w:ascii="FangSong" w:eastAsia="FangSong" w:hAnsi="FangSong" w:hint="eastAsia"/>
          <w:bCs/>
          <w:sz w:val="28"/>
          <w:szCs w:val="28"/>
        </w:rPr>
        <w:lastRenderedPageBreak/>
        <w:t>全部物业分别按60%去化率测算预估实现的租售收入为347,105.58万元（截止至 2023年二季度末）；其余物业按60%/年去化率测算预估实现的租售收入为194,379万元（截止至 2025年二季度末）。 五年合计销售收入为541,484.58万元。</w:t>
      </w:r>
    </w:p>
    <w:p w14:paraId="590C6D99" w14:textId="77777777" w:rsidR="003C1D3B" w:rsidRPr="00554BF1" w:rsidRDefault="003C1D3B" w:rsidP="00554BF1">
      <w:pPr>
        <w:spacing w:line="220" w:lineRule="atLeast"/>
        <w:rPr>
          <w:rFonts w:ascii="FangSong" w:eastAsia="FangSong" w:hAnsi="FangSong"/>
          <w:bCs/>
          <w:sz w:val="28"/>
          <w:szCs w:val="28"/>
        </w:rPr>
      </w:pPr>
      <w:r w:rsidRPr="00554BF1">
        <w:rPr>
          <w:rFonts w:ascii="FangSong" w:eastAsia="FangSong" w:hAnsi="FangSong" w:hint="eastAsia"/>
          <w:bCs/>
          <w:sz w:val="28"/>
          <w:szCs w:val="28"/>
        </w:rPr>
        <w:t>2、车位租赁收入</w:t>
      </w:r>
    </w:p>
    <w:p w14:paraId="220B277F" w14:textId="7A9492D3" w:rsidR="003C1D3B" w:rsidRPr="00554BF1" w:rsidRDefault="003C1D3B" w:rsidP="00554BF1">
      <w:pPr>
        <w:spacing w:line="220" w:lineRule="atLeast"/>
        <w:ind w:firstLineChars="100" w:firstLine="280"/>
        <w:rPr>
          <w:rFonts w:ascii="FangSong" w:eastAsia="FangSong" w:hAnsi="FangSong"/>
          <w:bCs/>
          <w:sz w:val="28"/>
          <w:szCs w:val="28"/>
        </w:rPr>
      </w:pPr>
      <w:r w:rsidRPr="00554BF1">
        <w:rPr>
          <w:rFonts w:ascii="FangSong" w:eastAsia="FangSong" w:hAnsi="FangSong" w:hint="eastAsia"/>
          <w:bCs/>
          <w:sz w:val="28"/>
          <w:szCs w:val="28"/>
        </w:rPr>
        <w:t>车位3800个，租赁收入按20年一次性收取；租赁价格为10万元/个，收入总额共计38,000万元；按70%的租赁比则收入总额为26，600万元。截止至 2025年二季度末按90%去化率测算预估实现的租售收入为7600万元。五年合计实现收入约为34,200万元。</w:t>
      </w:r>
    </w:p>
    <w:p w14:paraId="20F6F5AD" w14:textId="77777777" w:rsidR="003C1D3B" w:rsidRPr="00554BF1" w:rsidRDefault="003C1D3B" w:rsidP="00554BF1">
      <w:pPr>
        <w:spacing w:line="220" w:lineRule="atLeast"/>
        <w:rPr>
          <w:rFonts w:ascii="FangSong" w:eastAsia="FangSong" w:hAnsi="FangSong"/>
          <w:bCs/>
          <w:sz w:val="28"/>
          <w:szCs w:val="28"/>
        </w:rPr>
      </w:pPr>
      <w:r w:rsidRPr="00554BF1">
        <w:rPr>
          <w:rFonts w:ascii="FangSong" w:eastAsia="FangSong" w:hAnsi="FangSong" w:hint="eastAsia"/>
          <w:bCs/>
          <w:sz w:val="28"/>
          <w:szCs w:val="28"/>
        </w:rPr>
        <w:t>3、医院及康养设施租赁收入</w:t>
      </w:r>
    </w:p>
    <w:p w14:paraId="6F18D90A" w14:textId="62C509D8" w:rsidR="003C1D3B" w:rsidRPr="00554BF1" w:rsidRDefault="003C1D3B" w:rsidP="00554BF1">
      <w:pPr>
        <w:spacing w:line="220" w:lineRule="atLeast"/>
        <w:ind w:firstLineChars="100" w:firstLine="280"/>
        <w:rPr>
          <w:rFonts w:ascii="FangSong" w:eastAsia="FangSong" w:hAnsi="FangSong"/>
          <w:bCs/>
          <w:sz w:val="28"/>
          <w:szCs w:val="28"/>
        </w:rPr>
      </w:pPr>
      <w:r w:rsidRPr="00554BF1">
        <w:rPr>
          <w:rFonts w:ascii="FangSong" w:eastAsia="FangSong" w:hAnsi="FangSong" w:hint="eastAsia"/>
          <w:bCs/>
          <w:sz w:val="28"/>
          <w:szCs w:val="28"/>
        </w:rPr>
        <w:t>“金岸康城” 项目医院及康养设施租赁收入预计约12,000万元（截止至 2023年二季度末）。“金岸康城” 项目医院及康养设施租赁收入预计约12,000万元（截止至 2025年二季度末）</w:t>
      </w:r>
      <w:r w:rsidR="00554BF1">
        <w:rPr>
          <w:rFonts w:ascii="FangSong" w:eastAsia="FangSong" w:hAnsi="FangSong" w:hint="eastAsia"/>
          <w:bCs/>
          <w:sz w:val="28"/>
          <w:szCs w:val="28"/>
        </w:rPr>
        <w:t>，</w:t>
      </w:r>
      <w:r w:rsidRPr="00554BF1">
        <w:rPr>
          <w:rFonts w:ascii="FangSong" w:eastAsia="FangSong" w:hAnsi="FangSong" w:hint="eastAsia"/>
          <w:bCs/>
          <w:sz w:val="28"/>
          <w:szCs w:val="28"/>
        </w:rPr>
        <w:t>五年合计实现收入约为24,000万元。</w:t>
      </w:r>
    </w:p>
    <w:p w14:paraId="274B488C" w14:textId="77777777" w:rsidR="003C1D3B" w:rsidRPr="00554BF1" w:rsidRDefault="003C1D3B" w:rsidP="00554BF1">
      <w:pPr>
        <w:spacing w:line="220" w:lineRule="atLeast"/>
        <w:ind w:firstLineChars="100" w:firstLine="280"/>
        <w:rPr>
          <w:rFonts w:ascii="FangSong" w:eastAsia="FangSong" w:hAnsi="FangSong"/>
          <w:bCs/>
          <w:sz w:val="28"/>
          <w:szCs w:val="28"/>
        </w:rPr>
      </w:pPr>
      <w:r w:rsidRPr="00554BF1">
        <w:rPr>
          <w:rFonts w:ascii="FangSong" w:eastAsia="FangSong" w:hAnsi="FangSong" w:hint="eastAsia"/>
          <w:bCs/>
          <w:sz w:val="28"/>
          <w:szCs w:val="28"/>
        </w:rPr>
        <w:t>4、运营收入</w:t>
      </w:r>
    </w:p>
    <w:p w14:paraId="68A72822" w14:textId="77777777" w:rsidR="00554BF1" w:rsidRDefault="00554BF1" w:rsidP="00554BF1">
      <w:pPr>
        <w:spacing w:line="220" w:lineRule="atLeast"/>
        <w:ind w:firstLineChars="100" w:firstLine="280"/>
        <w:rPr>
          <w:rFonts w:ascii="FangSong" w:eastAsia="FangSong" w:hAnsi="FangSong"/>
          <w:bCs/>
          <w:sz w:val="28"/>
          <w:szCs w:val="28"/>
        </w:rPr>
      </w:pPr>
      <w:r>
        <w:rPr>
          <w:rFonts w:ascii="FangSong" w:eastAsia="FangSong" w:hAnsi="FangSong" w:hint="eastAsia"/>
          <w:bCs/>
          <w:sz w:val="28"/>
          <w:szCs w:val="28"/>
        </w:rPr>
        <w:t xml:space="preserve">   </w:t>
      </w:r>
      <w:r w:rsidR="003C1D3B" w:rsidRPr="00554BF1">
        <w:rPr>
          <w:rFonts w:ascii="FangSong" w:eastAsia="FangSong" w:hAnsi="FangSong" w:hint="eastAsia"/>
          <w:bCs/>
          <w:sz w:val="28"/>
          <w:szCs w:val="28"/>
        </w:rPr>
        <w:t>管理和服务费按4200元/床/月，7200张床位月收入为3024万，年收入为36， 288万元；按60%租售率则年收入为21，773万元，预计实现利润约10,867万元，两年共计21,734万元（截止至 2025年二季度末）。</w:t>
      </w:r>
    </w:p>
    <w:p w14:paraId="3AB21C6B" w14:textId="6A8E109F" w:rsidR="003C1D3B" w:rsidRPr="00554BF1" w:rsidRDefault="00554BF1" w:rsidP="00554BF1">
      <w:pPr>
        <w:spacing w:line="220" w:lineRule="atLeast"/>
        <w:ind w:firstLineChars="100" w:firstLine="280"/>
        <w:rPr>
          <w:rFonts w:ascii="FangSong" w:eastAsia="FangSong" w:hAnsi="FangSong"/>
          <w:bCs/>
          <w:sz w:val="28"/>
          <w:szCs w:val="28"/>
        </w:rPr>
      </w:pPr>
      <w:r>
        <w:rPr>
          <w:rFonts w:ascii="FangSong" w:eastAsia="FangSong" w:hAnsi="FangSong" w:hint="eastAsia"/>
          <w:bCs/>
          <w:sz w:val="28"/>
          <w:szCs w:val="28"/>
        </w:rPr>
        <w:t xml:space="preserve"> </w:t>
      </w:r>
      <w:r w:rsidR="003C1D3B" w:rsidRPr="00554BF1">
        <w:rPr>
          <w:rFonts w:ascii="FangSong" w:eastAsia="FangSong" w:hAnsi="FangSong" w:hint="eastAsia"/>
          <w:bCs/>
          <w:sz w:val="28"/>
          <w:szCs w:val="28"/>
        </w:rPr>
        <w:t>上述五年收入总计621,418.58</w:t>
      </w:r>
      <w:r>
        <w:rPr>
          <w:rFonts w:ascii="FangSong" w:eastAsia="FangSong" w:hAnsi="FangSong" w:hint="eastAsia"/>
          <w:bCs/>
          <w:sz w:val="28"/>
          <w:szCs w:val="28"/>
        </w:rPr>
        <w:t>万元，均可作为还款来源。</w:t>
      </w:r>
    </w:p>
    <w:p w14:paraId="6D36E1DA" w14:textId="77777777" w:rsidR="00B27D44" w:rsidRPr="00B27D44" w:rsidRDefault="00B27D44" w:rsidP="00B27D44"/>
    <w:p w14:paraId="553F2A12" w14:textId="3C3D8966" w:rsidR="00290CE5" w:rsidRPr="002A2DB5" w:rsidRDefault="00B63664" w:rsidP="002A2DB5">
      <w:pPr>
        <w:pStyle w:val="1"/>
        <w:spacing w:line="360" w:lineRule="auto"/>
        <w:rPr>
          <w:rFonts w:ascii="FangSong" w:eastAsia="FangSong" w:hAnsi="FangSong"/>
        </w:rPr>
      </w:pPr>
      <w:bookmarkStart w:id="48" w:name="_Toc24893550"/>
      <w:r w:rsidRPr="002A2DB5">
        <w:rPr>
          <w:rFonts w:ascii="FangSong" w:eastAsia="FangSong" w:hAnsi="FangSong" w:hint="eastAsia"/>
        </w:rPr>
        <w:lastRenderedPageBreak/>
        <w:t>十四、</w:t>
      </w:r>
      <w:r w:rsidR="00ED0D60" w:rsidRPr="002A2DB5">
        <w:rPr>
          <w:rFonts w:ascii="FangSong" w:eastAsia="FangSong" w:hAnsi="FangSong" w:hint="eastAsia"/>
        </w:rPr>
        <w:t>风险</w:t>
      </w:r>
      <w:r w:rsidR="00290CE5" w:rsidRPr="002A2DB5">
        <w:rPr>
          <w:rFonts w:ascii="FangSong" w:eastAsia="FangSong" w:hAnsi="FangSong" w:hint="eastAsia"/>
        </w:rPr>
        <w:t>分析</w:t>
      </w:r>
      <w:bookmarkEnd w:id="48"/>
    </w:p>
    <w:p w14:paraId="598ED99D" w14:textId="2B3CBF1E" w:rsidR="00352648" w:rsidRPr="002A2DB5" w:rsidRDefault="00C93748" w:rsidP="002A2DB5">
      <w:pPr>
        <w:pStyle w:val="2"/>
        <w:spacing w:line="360" w:lineRule="auto"/>
        <w:rPr>
          <w:rFonts w:ascii="FangSong" w:eastAsia="FangSong" w:hAnsi="FangSong"/>
        </w:rPr>
      </w:pPr>
      <w:bookmarkStart w:id="49" w:name="_Toc24893551"/>
      <w:r>
        <w:rPr>
          <w:rFonts w:ascii="FangSong" w:eastAsia="FangSong" w:hAnsi="FangSong" w:hint="eastAsia"/>
        </w:rPr>
        <w:t>14.1</w:t>
      </w:r>
      <w:r w:rsidR="001E0EAA" w:rsidRPr="002A2DB5">
        <w:rPr>
          <w:rFonts w:ascii="FangSong" w:eastAsia="FangSong" w:hAnsi="FangSong" w:hint="eastAsia"/>
        </w:rPr>
        <w:t>市场风险</w:t>
      </w:r>
      <w:bookmarkEnd w:id="49"/>
    </w:p>
    <w:p w14:paraId="095F8E7E" w14:textId="77777777" w:rsidR="00267178" w:rsidRDefault="001E0EAA" w:rsidP="00267178">
      <w:pPr>
        <w:pStyle w:val="a3"/>
        <w:spacing w:line="360" w:lineRule="auto"/>
        <w:ind w:left="720" w:firstLineChars="0" w:firstLine="0"/>
        <w:rPr>
          <w:rFonts w:ascii="FangSong" w:eastAsia="FangSong" w:hAnsi="FangSong"/>
          <w:sz w:val="28"/>
          <w:szCs w:val="28"/>
        </w:rPr>
      </w:pPr>
      <w:r w:rsidRPr="00267178">
        <w:rPr>
          <w:rFonts w:ascii="FangSong" w:eastAsia="FangSong" w:hAnsi="FangSong" w:hint="eastAsia"/>
          <w:sz w:val="28"/>
          <w:szCs w:val="28"/>
        </w:rPr>
        <w:t>新兴市场缺乏稳定性，</w:t>
      </w:r>
      <w:r w:rsidR="00924F27" w:rsidRPr="00267178">
        <w:rPr>
          <w:rFonts w:ascii="FangSong" w:eastAsia="FangSong" w:hAnsi="FangSong" w:hint="eastAsia"/>
          <w:sz w:val="28"/>
          <w:szCs w:val="28"/>
        </w:rPr>
        <w:t>由于人们对这一产业缺乏认知，所以需</w:t>
      </w:r>
    </w:p>
    <w:p w14:paraId="5B31F435" w14:textId="31EA3691" w:rsidR="00767F51" w:rsidRDefault="00924F27" w:rsidP="00267178">
      <w:pPr>
        <w:spacing w:line="360" w:lineRule="auto"/>
        <w:rPr>
          <w:rFonts w:ascii="FangSong" w:eastAsia="FangSong" w:hAnsi="FangSong"/>
          <w:sz w:val="28"/>
          <w:szCs w:val="28"/>
        </w:rPr>
      </w:pPr>
      <w:r w:rsidRPr="00267178">
        <w:rPr>
          <w:rFonts w:ascii="FangSong" w:eastAsia="FangSong" w:hAnsi="FangSong" w:hint="eastAsia"/>
          <w:sz w:val="28"/>
          <w:szCs w:val="28"/>
        </w:rPr>
        <w:t>要适应期，另，老年人风险意识较强，行事过度谨慎，会存在项目去化缓慢的风险。</w:t>
      </w:r>
    </w:p>
    <w:p w14:paraId="68427B57" w14:textId="41926BC8" w:rsidR="002663C6" w:rsidRPr="00267178" w:rsidRDefault="002663C6" w:rsidP="00267178">
      <w:pPr>
        <w:spacing w:line="360" w:lineRule="auto"/>
        <w:rPr>
          <w:rFonts w:ascii="FangSong" w:eastAsia="FangSong" w:hAnsi="FangSong"/>
          <w:sz w:val="28"/>
          <w:szCs w:val="28"/>
        </w:rPr>
      </w:pPr>
      <w:r>
        <w:rPr>
          <w:rFonts w:ascii="FangSong" w:eastAsia="FangSong" w:hAnsi="FangSong" w:hint="eastAsia"/>
          <w:sz w:val="28"/>
          <w:szCs w:val="28"/>
        </w:rPr>
        <w:t>缓释措施：</w:t>
      </w:r>
      <w:r w:rsidR="008A5463">
        <w:rPr>
          <w:rFonts w:ascii="FangSong" w:eastAsia="FangSong" w:hAnsi="FangSong" w:hint="eastAsia"/>
          <w:sz w:val="28"/>
          <w:szCs w:val="28"/>
        </w:rPr>
        <w:t>项目位于天津市津南区，属于全国四大养老地产发展前沿的京津冀区域，天津市养老市场位于全国前列，老龄化程度高于全国平均水平，养老项目市场供不应求。针对老年人风险意识较强，项目去化缓慢的风险，在项目圈定区位的前提下，提前规避了需求小的风险，在具备市场规模的条件下，提前部署品牌建设及推广，提高属地居民对于品牌的认知度，以及品牌的影响力，锁定目标客群，精准营销，延长蓄客期，待取得销许开盘时，可有效大幅降低市场风险。</w:t>
      </w:r>
    </w:p>
    <w:p w14:paraId="38B0F702" w14:textId="5A148694" w:rsidR="00643945" w:rsidRPr="002A2DB5" w:rsidRDefault="00C93748" w:rsidP="002A2DB5">
      <w:pPr>
        <w:pStyle w:val="2"/>
        <w:spacing w:line="360" w:lineRule="auto"/>
        <w:rPr>
          <w:rFonts w:ascii="FangSong" w:eastAsia="FangSong" w:hAnsi="FangSong"/>
        </w:rPr>
      </w:pPr>
      <w:bookmarkStart w:id="50" w:name="_Toc24893552"/>
      <w:r>
        <w:rPr>
          <w:rFonts w:ascii="FangSong" w:eastAsia="FangSong" w:hAnsi="FangSong" w:hint="eastAsia"/>
        </w:rPr>
        <w:t>14.2</w:t>
      </w:r>
      <w:r w:rsidR="00C22BB7" w:rsidRPr="002A2DB5">
        <w:rPr>
          <w:rFonts w:ascii="FangSong" w:eastAsia="FangSong" w:hAnsi="FangSong" w:hint="eastAsia"/>
        </w:rPr>
        <w:t>经营风险</w:t>
      </w:r>
      <w:bookmarkEnd w:id="50"/>
    </w:p>
    <w:p w14:paraId="5AF20879" w14:textId="77777777" w:rsidR="00267178" w:rsidRDefault="00C22BB7" w:rsidP="00267178">
      <w:pPr>
        <w:pStyle w:val="a3"/>
        <w:spacing w:line="360" w:lineRule="auto"/>
        <w:ind w:left="720" w:firstLineChars="0" w:firstLine="0"/>
        <w:rPr>
          <w:rFonts w:ascii="FangSong" w:eastAsia="FangSong" w:hAnsi="FangSong"/>
          <w:sz w:val="28"/>
          <w:szCs w:val="28"/>
        </w:rPr>
      </w:pPr>
      <w:r w:rsidRPr="00267178">
        <w:rPr>
          <w:rFonts w:ascii="FangSong" w:eastAsia="FangSong" w:hAnsi="FangSong" w:hint="eastAsia"/>
          <w:sz w:val="28"/>
          <w:szCs w:val="28"/>
        </w:rPr>
        <w:t>开发模式需要创新，</w:t>
      </w:r>
      <w:r w:rsidR="00924F27" w:rsidRPr="00267178">
        <w:rPr>
          <w:rFonts w:ascii="FangSong" w:eastAsia="FangSong" w:hAnsi="FangSong" w:hint="eastAsia"/>
          <w:sz w:val="28"/>
          <w:szCs w:val="28"/>
        </w:rPr>
        <w:t>对于开发商来说，最熟悉的商业模式是：</w:t>
      </w:r>
    </w:p>
    <w:p w14:paraId="7F0CFEF9" w14:textId="123BE958" w:rsidR="00924F27" w:rsidRDefault="00924F27" w:rsidP="00267178">
      <w:pPr>
        <w:spacing w:line="360" w:lineRule="auto"/>
        <w:rPr>
          <w:rFonts w:ascii="FangSong" w:eastAsia="FangSong" w:hAnsi="FangSong"/>
          <w:sz w:val="28"/>
          <w:szCs w:val="28"/>
        </w:rPr>
      </w:pPr>
      <w:r w:rsidRPr="00267178">
        <w:rPr>
          <w:rFonts w:ascii="FangSong" w:eastAsia="FangSong" w:hAnsi="FangSong" w:hint="eastAsia"/>
          <w:sz w:val="28"/>
          <w:szCs w:val="28"/>
        </w:rPr>
        <w:t>买地，建房、出售或自持。养老地产的不同在于，盈利更依靠后期的运营。目前传统的养老机构属于微利状态，而当前国家倡导的是：以居家养老为主“的政策，全国有90%以上的老人在家养老，</w:t>
      </w:r>
      <w:r w:rsidRPr="00267178">
        <w:rPr>
          <w:rFonts w:ascii="FangSong" w:eastAsia="FangSong" w:hAnsi="FangSong" w:hint="eastAsia"/>
          <w:sz w:val="28"/>
          <w:szCs w:val="28"/>
        </w:rPr>
        <w:lastRenderedPageBreak/>
        <w:t>这是一个巨大的产业，开发商在这个产业需要寻求新的模式创造经济效益。</w:t>
      </w:r>
    </w:p>
    <w:p w14:paraId="24FACDDB" w14:textId="5F75A7F5" w:rsidR="00EC177A" w:rsidRPr="00267178" w:rsidRDefault="00EC177A" w:rsidP="00267178">
      <w:pPr>
        <w:spacing w:line="360" w:lineRule="auto"/>
        <w:rPr>
          <w:rFonts w:ascii="FangSong" w:eastAsia="FangSong" w:hAnsi="FangSong"/>
          <w:sz w:val="28"/>
          <w:szCs w:val="28"/>
        </w:rPr>
      </w:pPr>
      <w:r>
        <w:rPr>
          <w:rFonts w:ascii="FangSong" w:eastAsia="FangSong" w:hAnsi="FangSong" w:hint="eastAsia"/>
          <w:sz w:val="28"/>
          <w:szCs w:val="28"/>
        </w:rPr>
        <w:t>缓释措施：</w:t>
      </w:r>
      <w:r w:rsidR="008A5463">
        <w:rPr>
          <w:rFonts w:ascii="FangSong" w:eastAsia="FangSong" w:hAnsi="FangSong" w:hint="eastAsia"/>
          <w:sz w:val="28"/>
          <w:szCs w:val="28"/>
        </w:rPr>
        <w:t>对于目前养老地产市场广阔，但开发模式仍需要不断创新，提高利润率的现状下，养老地产后期存在的经营风险的现状。金岸康城项目商业模式使得其对运营盈利依赖度较低，项目可销售面积达……，售罄后可完全覆盖投资，并达到……净利润率。同时，后期通过基础服务和增值服务获得稳定现金流，保证项目持续发展。</w:t>
      </w:r>
    </w:p>
    <w:p w14:paraId="0613B6D8" w14:textId="615F6C19" w:rsidR="002B3489" w:rsidRPr="002A2DB5" w:rsidRDefault="00C93748" w:rsidP="002A2DB5">
      <w:pPr>
        <w:pStyle w:val="2"/>
        <w:spacing w:line="360" w:lineRule="auto"/>
        <w:rPr>
          <w:rFonts w:ascii="FangSong" w:eastAsia="FangSong" w:hAnsi="FangSong"/>
        </w:rPr>
      </w:pPr>
      <w:bookmarkStart w:id="51" w:name="_Toc24893553"/>
      <w:r>
        <w:rPr>
          <w:rFonts w:ascii="FangSong" w:eastAsia="FangSong" w:hAnsi="FangSong" w:hint="eastAsia"/>
        </w:rPr>
        <w:t>14.3</w:t>
      </w:r>
      <w:r w:rsidR="00C22BB7" w:rsidRPr="002A2DB5">
        <w:rPr>
          <w:rFonts w:ascii="FangSong" w:eastAsia="FangSong" w:hAnsi="FangSong" w:hint="eastAsia"/>
        </w:rPr>
        <w:t>资金风险</w:t>
      </w:r>
      <w:bookmarkEnd w:id="51"/>
    </w:p>
    <w:p w14:paraId="18ADCD74" w14:textId="77777777" w:rsidR="00267178" w:rsidRDefault="00C22BB7" w:rsidP="00267178">
      <w:pPr>
        <w:pStyle w:val="a3"/>
        <w:spacing w:line="360" w:lineRule="auto"/>
        <w:ind w:left="720" w:firstLineChars="0" w:firstLine="0"/>
        <w:rPr>
          <w:rFonts w:ascii="FangSong" w:eastAsia="FangSong" w:hAnsi="FangSong"/>
          <w:sz w:val="28"/>
          <w:szCs w:val="28"/>
        </w:rPr>
      </w:pPr>
      <w:r w:rsidRPr="00267178">
        <w:rPr>
          <w:rFonts w:ascii="FangSong" w:eastAsia="FangSong" w:hAnsi="FangSong" w:hint="eastAsia"/>
          <w:sz w:val="28"/>
          <w:szCs w:val="28"/>
        </w:rPr>
        <w:t>投资金额较大，</w:t>
      </w:r>
      <w:r w:rsidR="00924F27" w:rsidRPr="00267178">
        <w:rPr>
          <w:rFonts w:ascii="FangSong" w:eastAsia="FangSong" w:hAnsi="FangSong" w:hint="eastAsia"/>
          <w:sz w:val="28"/>
          <w:szCs w:val="28"/>
        </w:rPr>
        <w:t>养老地产项目在配套方面投入较大，如医疗促</w:t>
      </w:r>
    </w:p>
    <w:p w14:paraId="490CAEAD" w14:textId="5EAF94C2" w:rsidR="00924F27" w:rsidRDefault="00924F27" w:rsidP="00267178">
      <w:pPr>
        <w:spacing w:line="360" w:lineRule="auto"/>
        <w:rPr>
          <w:rFonts w:ascii="FangSong" w:eastAsia="FangSong" w:hAnsi="FangSong"/>
          <w:sz w:val="28"/>
          <w:szCs w:val="28"/>
        </w:rPr>
      </w:pPr>
      <w:r w:rsidRPr="00267178">
        <w:rPr>
          <w:rFonts w:ascii="FangSong" w:eastAsia="FangSong" w:hAnsi="FangSong" w:hint="eastAsia"/>
          <w:sz w:val="28"/>
          <w:szCs w:val="28"/>
        </w:rPr>
        <w:t>使中心，活动中心、商业购物中心等大量的医护及配套设施设备，对企业来说是很重的负担，高额的投资必然提高养老地产的成本。目前我国老年人更青睐于租赁或购买（所有权）的方式入住养老地产，因</w:t>
      </w:r>
      <w:r w:rsidR="00C22BB7" w:rsidRPr="00267178">
        <w:rPr>
          <w:rFonts w:ascii="FangSong" w:eastAsia="FangSong" w:hAnsi="FangSong" w:hint="eastAsia"/>
          <w:sz w:val="28"/>
          <w:szCs w:val="28"/>
        </w:rPr>
        <w:t>养</w:t>
      </w:r>
      <w:r w:rsidRPr="00267178">
        <w:rPr>
          <w:rFonts w:ascii="FangSong" w:eastAsia="FangSong" w:hAnsi="FangSong" w:hint="eastAsia"/>
          <w:sz w:val="28"/>
          <w:szCs w:val="28"/>
        </w:rPr>
        <w:t>老地产配套设施较多，养老地产项目需要投资者进行一定时期的经营才可以收回投资，长时间占用资金增加了机会成本。</w:t>
      </w:r>
    </w:p>
    <w:p w14:paraId="6193B133" w14:textId="3903AE37" w:rsidR="00EC177A" w:rsidRPr="00267178" w:rsidRDefault="00EC177A" w:rsidP="00267178">
      <w:pPr>
        <w:spacing w:line="360" w:lineRule="auto"/>
        <w:rPr>
          <w:rFonts w:ascii="FangSong" w:eastAsia="FangSong" w:hAnsi="FangSong"/>
          <w:sz w:val="28"/>
          <w:szCs w:val="28"/>
        </w:rPr>
      </w:pPr>
      <w:r>
        <w:rPr>
          <w:rFonts w:ascii="FangSong" w:eastAsia="FangSong" w:hAnsi="FangSong" w:hint="eastAsia"/>
          <w:sz w:val="28"/>
          <w:szCs w:val="28"/>
        </w:rPr>
        <w:t>缓释措施：</w:t>
      </w:r>
      <w:r w:rsidR="00A85AFA">
        <w:rPr>
          <w:rFonts w:ascii="FangSong" w:eastAsia="FangSong" w:hAnsi="FangSong" w:hint="eastAsia"/>
          <w:sz w:val="28"/>
          <w:szCs w:val="28"/>
        </w:rPr>
        <w:t>该项目总投约49亿元，目前已投入8亿元，尚需资金41亿元。开发主体拟将项目分为三期，采取边投资，边建设，边抵押，边融资，边销售的滚动开发方式，一方面，可保证项目的建设周期，另一方面，项目销售收入可部分反投项目，使得项目持续建设、销售，不断提升品牌影响力。</w:t>
      </w:r>
    </w:p>
    <w:p w14:paraId="5A9A7512" w14:textId="523E88B6" w:rsidR="002D7FBB" w:rsidRPr="002A2DB5" w:rsidRDefault="00C93748" w:rsidP="002A2DB5">
      <w:pPr>
        <w:pStyle w:val="2"/>
        <w:spacing w:line="360" w:lineRule="auto"/>
        <w:rPr>
          <w:rFonts w:ascii="FangSong" w:eastAsia="FangSong" w:hAnsi="FangSong"/>
        </w:rPr>
      </w:pPr>
      <w:bookmarkStart w:id="52" w:name="_Toc24893554"/>
      <w:r>
        <w:rPr>
          <w:rFonts w:ascii="FangSong" w:eastAsia="FangSong" w:hAnsi="FangSong" w:hint="eastAsia"/>
        </w:rPr>
        <w:lastRenderedPageBreak/>
        <w:t>14.4</w:t>
      </w:r>
      <w:r w:rsidR="00C22BB7" w:rsidRPr="002A2DB5">
        <w:rPr>
          <w:rFonts w:ascii="FangSong" w:eastAsia="FangSong" w:hAnsi="FangSong" w:hint="eastAsia"/>
        </w:rPr>
        <w:t>管理风险</w:t>
      </w:r>
      <w:bookmarkEnd w:id="52"/>
    </w:p>
    <w:p w14:paraId="0841FDF7" w14:textId="0FEA8FEC" w:rsidR="00924F27" w:rsidRDefault="00924F27" w:rsidP="00EC177A">
      <w:pPr>
        <w:spacing w:line="360" w:lineRule="auto"/>
        <w:ind w:firstLine="520"/>
        <w:rPr>
          <w:rFonts w:ascii="FangSong" w:eastAsia="FangSong" w:hAnsi="FangSong"/>
          <w:sz w:val="28"/>
          <w:szCs w:val="28"/>
        </w:rPr>
      </w:pPr>
      <w:r w:rsidRPr="00267178">
        <w:rPr>
          <w:rFonts w:ascii="FangSong" w:eastAsia="FangSong" w:hAnsi="FangSong" w:hint="eastAsia"/>
          <w:sz w:val="28"/>
          <w:szCs w:val="28"/>
        </w:rPr>
        <w:t>养老地产入住人群的特殊性，要求其要有更加完善的后期物业风险，包括针对老年人的保洁、送饭、医疗等服务，这也是房地产商需要考虑的风险之一。</w:t>
      </w:r>
    </w:p>
    <w:p w14:paraId="6D427A98" w14:textId="6DACC06D" w:rsidR="00EC177A" w:rsidRPr="00267178" w:rsidRDefault="00A85AFA" w:rsidP="00EC177A">
      <w:pPr>
        <w:spacing w:line="360" w:lineRule="auto"/>
        <w:rPr>
          <w:rFonts w:ascii="FangSong" w:eastAsia="FangSong" w:hAnsi="FangSong"/>
          <w:sz w:val="28"/>
          <w:szCs w:val="28"/>
        </w:rPr>
      </w:pPr>
      <w:r>
        <w:rPr>
          <w:rFonts w:ascii="FangSong" w:eastAsia="FangSong" w:hAnsi="FangSong" w:hint="eastAsia"/>
          <w:sz w:val="28"/>
          <w:szCs w:val="28"/>
        </w:rPr>
        <w:t>缓释措施：</w:t>
      </w:r>
      <w:r w:rsidR="00053280">
        <w:rPr>
          <w:rFonts w:ascii="FangSong" w:eastAsia="FangSong" w:hAnsi="FangSong" w:hint="eastAsia"/>
          <w:sz w:val="28"/>
          <w:szCs w:val="28"/>
        </w:rPr>
        <w:t>前期，公司将引入知名养老地产服务品牌商合作，同时，建设自主服务体系、培养专业服务团队，制定服务标准，分别在基础的生活服务、健康管理、文化享受方面，给与老年人全方位的身心体验。同时，引入智能设施，打造智慧养老院、智慧老年公寓，让科技贯穿养老服务的全程，让服务更加人性化、适老化。</w:t>
      </w:r>
    </w:p>
    <w:p w14:paraId="733DC5AF" w14:textId="13B524AF" w:rsidR="00290CE5" w:rsidRPr="002A2DB5" w:rsidRDefault="00B63664" w:rsidP="002A2DB5">
      <w:pPr>
        <w:pStyle w:val="1"/>
        <w:spacing w:line="360" w:lineRule="auto"/>
        <w:rPr>
          <w:rFonts w:ascii="FangSong" w:eastAsia="FangSong" w:hAnsi="FangSong"/>
        </w:rPr>
      </w:pPr>
      <w:bookmarkStart w:id="53" w:name="_Toc24893555"/>
      <w:r w:rsidRPr="002A2DB5">
        <w:rPr>
          <w:rFonts w:ascii="FangSong" w:eastAsia="FangSong" w:hAnsi="FangSong" w:hint="eastAsia"/>
        </w:rPr>
        <w:t>十五、</w:t>
      </w:r>
      <w:r w:rsidR="00290CE5" w:rsidRPr="002A2DB5">
        <w:rPr>
          <w:rFonts w:ascii="FangSong" w:eastAsia="FangSong" w:hAnsi="FangSong" w:hint="eastAsia"/>
        </w:rPr>
        <w:t>结论</w:t>
      </w:r>
      <w:bookmarkEnd w:id="53"/>
    </w:p>
    <w:p w14:paraId="241E1B21" w14:textId="6EFE7E20" w:rsidR="00ED0D60" w:rsidRPr="001359E2" w:rsidRDefault="00ED0D60" w:rsidP="00122C2C">
      <w:pPr>
        <w:pStyle w:val="a3"/>
        <w:numPr>
          <w:ilvl w:val="0"/>
          <w:numId w:val="18"/>
        </w:numPr>
        <w:spacing w:line="360" w:lineRule="auto"/>
        <w:ind w:firstLineChars="0"/>
        <w:rPr>
          <w:rFonts w:ascii="FangSong" w:eastAsia="FangSong" w:hAnsi="FangSong"/>
          <w:sz w:val="28"/>
          <w:szCs w:val="28"/>
        </w:rPr>
      </w:pPr>
      <w:r w:rsidRPr="001359E2">
        <w:rPr>
          <w:rFonts w:ascii="FangSong" w:eastAsia="FangSong" w:hAnsi="FangSong" w:hint="eastAsia"/>
          <w:sz w:val="28"/>
          <w:szCs w:val="28"/>
        </w:rPr>
        <w:t>本公司</w:t>
      </w:r>
      <w:r w:rsidR="003B3F14" w:rsidRPr="001359E2">
        <w:rPr>
          <w:rFonts w:ascii="FangSong" w:eastAsia="FangSong" w:hAnsi="FangSong" w:hint="eastAsia"/>
          <w:sz w:val="28"/>
          <w:szCs w:val="28"/>
        </w:rPr>
        <w:t>已具备四证齐全的条件</w:t>
      </w:r>
      <w:r w:rsidR="00BB334E" w:rsidRPr="001359E2">
        <w:rPr>
          <w:rFonts w:ascii="FangSong" w:eastAsia="FangSong" w:hAnsi="FangSong" w:hint="eastAsia"/>
          <w:sz w:val="28"/>
          <w:szCs w:val="28"/>
        </w:rPr>
        <w:t>，项目从用地取得、规划、设计、施工按照国家建设项目程序进行，具备合法性；</w:t>
      </w:r>
    </w:p>
    <w:p w14:paraId="04C319D6" w14:textId="106EA955" w:rsidR="00BB334E" w:rsidRPr="001359E2" w:rsidRDefault="00BB334E" w:rsidP="00122C2C">
      <w:pPr>
        <w:pStyle w:val="a3"/>
        <w:numPr>
          <w:ilvl w:val="0"/>
          <w:numId w:val="18"/>
        </w:numPr>
        <w:spacing w:line="360" w:lineRule="auto"/>
        <w:ind w:firstLineChars="0"/>
        <w:rPr>
          <w:rFonts w:ascii="FangSong" w:eastAsia="FangSong" w:hAnsi="FangSong"/>
          <w:sz w:val="28"/>
          <w:szCs w:val="28"/>
        </w:rPr>
      </w:pPr>
      <w:r w:rsidRPr="001359E2">
        <w:rPr>
          <w:rFonts w:ascii="FangSong" w:eastAsia="FangSong" w:hAnsi="FangSong" w:hint="eastAsia"/>
          <w:sz w:val="28"/>
          <w:szCs w:val="28"/>
        </w:rPr>
        <w:t>本项目投资估算为</w:t>
      </w:r>
      <w:r w:rsidR="00911A10" w:rsidRPr="00911A10">
        <w:rPr>
          <w:rFonts w:ascii="FangSong" w:eastAsia="FangSong" w:hAnsi="FangSong"/>
          <w:sz w:val="28"/>
          <w:szCs w:val="28"/>
        </w:rPr>
        <w:t>496,985.00</w:t>
      </w:r>
      <w:r w:rsidRPr="001359E2">
        <w:rPr>
          <w:rFonts w:ascii="FangSong" w:eastAsia="FangSong" w:hAnsi="FangSong" w:hint="eastAsia"/>
          <w:sz w:val="28"/>
          <w:szCs w:val="28"/>
        </w:rPr>
        <w:t>万元，已投入自有资金</w:t>
      </w:r>
      <w:r w:rsidR="001F24D9">
        <w:rPr>
          <w:rFonts w:ascii="FangSong" w:eastAsia="FangSong" w:hAnsi="FangSong" w:hint="eastAsia"/>
          <w:sz w:val="28"/>
          <w:szCs w:val="28"/>
        </w:rPr>
        <w:t>70,6</w:t>
      </w:r>
      <w:r w:rsidR="001359E2" w:rsidRPr="001359E2">
        <w:rPr>
          <w:rFonts w:ascii="FangSong" w:eastAsia="FangSong" w:hAnsi="FangSong" w:hint="eastAsia"/>
          <w:sz w:val="28"/>
          <w:szCs w:val="28"/>
        </w:rPr>
        <w:t>00.00</w:t>
      </w:r>
      <w:r w:rsidRPr="001359E2">
        <w:rPr>
          <w:rFonts w:ascii="FangSong" w:eastAsia="FangSong" w:hAnsi="FangSong" w:hint="eastAsia"/>
          <w:sz w:val="28"/>
          <w:szCs w:val="28"/>
        </w:rPr>
        <w:t>万元，预估</w:t>
      </w:r>
      <w:r w:rsidR="00911A10" w:rsidRPr="00911A10">
        <w:rPr>
          <w:rFonts w:ascii="FangSong" w:eastAsia="FangSong" w:hAnsi="FangSong" w:hint="eastAsia"/>
          <w:sz w:val="28"/>
          <w:szCs w:val="28"/>
        </w:rPr>
        <w:t>五年合计销售收入为541,484.58</w:t>
      </w:r>
      <w:r w:rsidR="00911A10">
        <w:rPr>
          <w:rFonts w:ascii="FangSong" w:eastAsia="FangSong" w:hAnsi="FangSong" w:hint="eastAsia"/>
          <w:sz w:val="28"/>
          <w:szCs w:val="28"/>
        </w:rPr>
        <w:t>万元。项目</w:t>
      </w:r>
      <w:r w:rsidRPr="001359E2">
        <w:rPr>
          <w:rFonts w:ascii="FangSong" w:eastAsia="FangSong" w:hAnsi="FangSong" w:hint="eastAsia"/>
          <w:sz w:val="28"/>
          <w:szCs w:val="28"/>
        </w:rPr>
        <w:t>具备极大的土地优势、良好的经济回报和价格上调优势，因此在经济上可行；</w:t>
      </w:r>
    </w:p>
    <w:p w14:paraId="2CFB2BE3" w14:textId="4DAEE446" w:rsidR="00BB334E" w:rsidRPr="001359E2" w:rsidRDefault="00BB334E" w:rsidP="00122C2C">
      <w:pPr>
        <w:pStyle w:val="a3"/>
        <w:numPr>
          <w:ilvl w:val="0"/>
          <w:numId w:val="18"/>
        </w:numPr>
        <w:spacing w:line="360" w:lineRule="auto"/>
        <w:ind w:firstLineChars="0"/>
        <w:rPr>
          <w:rFonts w:ascii="FangSong" w:eastAsia="FangSong" w:hAnsi="FangSong"/>
          <w:sz w:val="28"/>
          <w:szCs w:val="28"/>
        </w:rPr>
      </w:pPr>
      <w:r w:rsidRPr="001359E2">
        <w:rPr>
          <w:rFonts w:ascii="FangSong" w:eastAsia="FangSong" w:hAnsi="FangSong" w:hint="eastAsia"/>
          <w:sz w:val="28"/>
          <w:szCs w:val="28"/>
        </w:rPr>
        <w:t>鉴于项目将要给公司和合作的金融机构带来良好的收益，因此整个项目给与本项目合作的金融机构在开发贷款及按揭贷款业务带来潜在巨大的收益。</w:t>
      </w:r>
    </w:p>
    <w:p w14:paraId="5656740C" w14:textId="752D2A30" w:rsidR="00BB334E" w:rsidRPr="001359E2" w:rsidRDefault="00BB334E" w:rsidP="002A2DB5">
      <w:pPr>
        <w:spacing w:line="360" w:lineRule="auto"/>
        <w:rPr>
          <w:rFonts w:ascii="FangSong" w:eastAsia="FangSong" w:hAnsi="FangSong"/>
          <w:sz w:val="28"/>
          <w:szCs w:val="28"/>
        </w:rPr>
      </w:pPr>
      <w:r w:rsidRPr="001359E2">
        <w:rPr>
          <w:rFonts w:ascii="FangSong" w:eastAsia="FangSong" w:hAnsi="FangSong" w:hint="eastAsia"/>
          <w:sz w:val="28"/>
          <w:szCs w:val="28"/>
        </w:rPr>
        <w:lastRenderedPageBreak/>
        <w:t xml:space="preserve">     经以上测算，我司认为：该项目经济效益较好，项目合法，各项财务指标正常，项目投资可行。</w:t>
      </w:r>
    </w:p>
    <w:p w14:paraId="23D5BFEA" w14:textId="77777777" w:rsidR="00290CE5" w:rsidRPr="002A2DB5" w:rsidRDefault="00290CE5" w:rsidP="002A2DB5">
      <w:pPr>
        <w:spacing w:line="360" w:lineRule="auto"/>
        <w:rPr>
          <w:rFonts w:ascii="FangSong" w:eastAsia="FangSong" w:hAnsi="FangSong"/>
        </w:rPr>
      </w:pPr>
    </w:p>
    <w:sectPr w:rsidR="00290CE5" w:rsidRPr="002A2DB5" w:rsidSect="002A2DB5">
      <w:headerReference w:type="default" r:id="rId37"/>
      <w:footerReference w:type="even" r:id="rId38"/>
      <w:footerReference w:type="default" r:id="rId39"/>
      <w:pgSz w:w="11900" w:h="16840"/>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F5A27" w14:textId="77777777" w:rsidR="00F811DE" w:rsidRDefault="00F811DE" w:rsidP="002A2DB5">
      <w:r>
        <w:separator/>
      </w:r>
    </w:p>
  </w:endnote>
  <w:endnote w:type="continuationSeparator" w:id="0">
    <w:p w14:paraId="3C37195E" w14:textId="77777777" w:rsidR="00F811DE" w:rsidRDefault="00F811DE" w:rsidP="002A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angSong">
    <w:panose1 w:val="02010609060101010101"/>
    <w:charset w:val="86"/>
    <w:family w:val="auto"/>
    <w:pitch w:val="variable"/>
    <w:sig w:usb0="800002BF" w:usb1="38CF7CFA"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仿宋">
    <w:charset w:val="86"/>
    <w:family w:val="auto"/>
    <w:pitch w:val="variable"/>
    <w:sig w:usb0="800002BF" w:usb1="38CF7CFA" w:usb2="00000016" w:usb3="00000000" w:csb0="00040001"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BC015" w14:textId="77777777" w:rsidR="003C1D3B" w:rsidRDefault="003C1D3B" w:rsidP="00E7365E">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07AB62D" w14:textId="77777777" w:rsidR="003C1D3B" w:rsidRDefault="003C1D3B">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A560" w14:textId="77777777" w:rsidR="003C1D3B" w:rsidRDefault="003C1D3B" w:rsidP="00E7365E">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A150B">
      <w:rPr>
        <w:rStyle w:val="a9"/>
        <w:noProof/>
      </w:rPr>
      <w:t>60</w:t>
    </w:r>
    <w:r>
      <w:rPr>
        <w:rStyle w:val="a9"/>
      </w:rPr>
      <w:fldChar w:fldCharType="end"/>
    </w:r>
  </w:p>
  <w:p w14:paraId="5A46A221" w14:textId="77777777" w:rsidR="003C1D3B" w:rsidRDefault="003C1D3B">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5F379" w14:textId="77777777" w:rsidR="00F811DE" w:rsidRDefault="00F811DE" w:rsidP="002A2DB5">
      <w:r>
        <w:separator/>
      </w:r>
    </w:p>
  </w:footnote>
  <w:footnote w:type="continuationSeparator" w:id="0">
    <w:p w14:paraId="0D83D1D5" w14:textId="77777777" w:rsidR="00F811DE" w:rsidRDefault="00F811DE" w:rsidP="002A2D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B8CB" w14:textId="32A0CA97" w:rsidR="003C1D3B" w:rsidRDefault="003C1D3B">
    <w:pPr>
      <w:pStyle w:val="a5"/>
    </w:pPr>
    <w:r>
      <w:rPr>
        <w:rFonts w:hint="eastAsia"/>
      </w:rPr>
      <w:t>金岸康城项目                      商业计划书</w:t>
    </w:r>
    <w:r>
      <w:ptab w:relativeTo="margin" w:alignment="right" w:leader="none"/>
    </w:r>
    <w:r>
      <w:rPr>
        <w:rFonts w:hint="eastAsia"/>
      </w:rPr>
      <w:t>中滨城（天津）置业有限公司</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056"/>
    <w:multiLevelType w:val="hybridMultilevel"/>
    <w:tmpl w:val="377ACFA0"/>
    <w:lvl w:ilvl="0" w:tplc="DE060C8E">
      <w:start w:val="1"/>
      <w:numFmt w:val="decimal"/>
      <w:lvlText w:val="%1、"/>
      <w:lvlJc w:val="left"/>
      <w:pPr>
        <w:ind w:left="720" w:hanging="720"/>
      </w:pPr>
      <w:rPr>
        <w:rFonts w:ascii="FangSong" w:eastAsia="FangSong" w:hAnsi="FangSong" w:cstheme="minorBidi"/>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1E446EC"/>
    <w:multiLevelType w:val="hybridMultilevel"/>
    <w:tmpl w:val="14789CC0"/>
    <w:lvl w:ilvl="0" w:tplc="0AF00976">
      <w:start w:val="1"/>
      <w:numFmt w:val="bullet"/>
      <w:lvlText w:val=""/>
      <w:lvlJc w:val="left"/>
      <w:pPr>
        <w:tabs>
          <w:tab w:val="num" w:pos="720"/>
        </w:tabs>
        <w:ind w:left="720" w:hanging="360"/>
      </w:pPr>
      <w:rPr>
        <w:rFonts w:ascii="Wingdings" w:hAnsi="Wingdings" w:hint="default"/>
      </w:rPr>
    </w:lvl>
    <w:lvl w:ilvl="1" w:tplc="3D94C920" w:tentative="1">
      <w:start w:val="1"/>
      <w:numFmt w:val="bullet"/>
      <w:lvlText w:val=""/>
      <w:lvlJc w:val="left"/>
      <w:pPr>
        <w:tabs>
          <w:tab w:val="num" w:pos="1440"/>
        </w:tabs>
        <w:ind w:left="1440" w:hanging="360"/>
      </w:pPr>
      <w:rPr>
        <w:rFonts w:ascii="Wingdings" w:hAnsi="Wingdings" w:hint="default"/>
      </w:rPr>
    </w:lvl>
    <w:lvl w:ilvl="2" w:tplc="7A7E92AA" w:tentative="1">
      <w:start w:val="1"/>
      <w:numFmt w:val="bullet"/>
      <w:lvlText w:val=""/>
      <w:lvlJc w:val="left"/>
      <w:pPr>
        <w:tabs>
          <w:tab w:val="num" w:pos="2160"/>
        </w:tabs>
        <w:ind w:left="2160" w:hanging="360"/>
      </w:pPr>
      <w:rPr>
        <w:rFonts w:ascii="Wingdings" w:hAnsi="Wingdings" w:hint="default"/>
      </w:rPr>
    </w:lvl>
    <w:lvl w:ilvl="3" w:tplc="11D42ED2" w:tentative="1">
      <w:start w:val="1"/>
      <w:numFmt w:val="bullet"/>
      <w:lvlText w:val=""/>
      <w:lvlJc w:val="left"/>
      <w:pPr>
        <w:tabs>
          <w:tab w:val="num" w:pos="2880"/>
        </w:tabs>
        <w:ind w:left="2880" w:hanging="360"/>
      </w:pPr>
      <w:rPr>
        <w:rFonts w:ascii="Wingdings" w:hAnsi="Wingdings" w:hint="default"/>
      </w:rPr>
    </w:lvl>
    <w:lvl w:ilvl="4" w:tplc="9E4A021C" w:tentative="1">
      <w:start w:val="1"/>
      <w:numFmt w:val="bullet"/>
      <w:lvlText w:val=""/>
      <w:lvlJc w:val="left"/>
      <w:pPr>
        <w:tabs>
          <w:tab w:val="num" w:pos="3600"/>
        </w:tabs>
        <w:ind w:left="3600" w:hanging="360"/>
      </w:pPr>
      <w:rPr>
        <w:rFonts w:ascii="Wingdings" w:hAnsi="Wingdings" w:hint="default"/>
      </w:rPr>
    </w:lvl>
    <w:lvl w:ilvl="5" w:tplc="340AD004" w:tentative="1">
      <w:start w:val="1"/>
      <w:numFmt w:val="bullet"/>
      <w:lvlText w:val=""/>
      <w:lvlJc w:val="left"/>
      <w:pPr>
        <w:tabs>
          <w:tab w:val="num" w:pos="4320"/>
        </w:tabs>
        <w:ind w:left="4320" w:hanging="360"/>
      </w:pPr>
      <w:rPr>
        <w:rFonts w:ascii="Wingdings" w:hAnsi="Wingdings" w:hint="default"/>
      </w:rPr>
    </w:lvl>
    <w:lvl w:ilvl="6" w:tplc="AA9C9C32" w:tentative="1">
      <w:start w:val="1"/>
      <w:numFmt w:val="bullet"/>
      <w:lvlText w:val=""/>
      <w:lvlJc w:val="left"/>
      <w:pPr>
        <w:tabs>
          <w:tab w:val="num" w:pos="5040"/>
        </w:tabs>
        <w:ind w:left="5040" w:hanging="360"/>
      </w:pPr>
      <w:rPr>
        <w:rFonts w:ascii="Wingdings" w:hAnsi="Wingdings" w:hint="default"/>
      </w:rPr>
    </w:lvl>
    <w:lvl w:ilvl="7" w:tplc="AEA6904C" w:tentative="1">
      <w:start w:val="1"/>
      <w:numFmt w:val="bullet"/>
      <w:lvlText w:val=""/>
      <w:lvlJc w:val="left"/>
      <w:pPr>
        <w:tabs>
          <w:tab w:val="num" w:pos="5760"/>
        </w:tabs>
        <w:ind w:left="5760" w:hanging="360"/>
      </w:pPr>
      <w:rPr>
        <w:rFonts w:ascii="Wingdings" w:hAnsi="Wingdings" w:hint="default"/>
      </w:rPr>
    </w:lvl>
    <w:lvl w:ilvl="8" w:tplc="1D76A1B4" w:tentative="1">
      <w:start w:val="1"/>
      <w:numFmt w:val="bullet"/>
      <w:lvlText w:val=""/>
      <w:lvlJc w:val="left"/>
      <w:pPr>
        <w:tabs>
          <w:tab w:val="num" w:pos="6480"/>
        </w:tabs>
        <w:ind w:left="6480" w:hanging="360"/>
      </w:pPr>
      <w:rPr>
        <w:rFonts w:ascii="Wingdings" w:hAnsi="Wingdings" w:hint="default"/>
      </w:rPr>
    </w:lvl>
  </w:abstractNum>
  <w:abstractNum w:abstractNumId="2">
    <w:nsid w:val="02DF48AC"/>
    <w:multiLevelType w:val="hybridMultilevel"/>
    <w:tmpl w:val="20FE09A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CF18BC"/>
    <w:multiLevelType w:val="hybridMultilevel"/>
    <w:tmpl w:val="13A059E8"/>
    <w:lvl w:ilvl="0" w:tplc="030C3A50">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098142A2"/>
    <w:multiLevelType w:val="hybridMultilevel"/>
    <w:tmpl w:val="3CD401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B073B22"/>
    <w:multiLevelType w:val="hybridMultilevel"/>
    <w:tmpl w:val="6B80A52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CCF0EE0"/>
    <w:multiLevelType w:val="hybridMultilevel"/>
    <w:tmpl w:val="513CC70A"/>
    <w:lvl w:ilvl="0" w:tplc="1A72CCC6">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125451E0"/>
    <w:multiLevelType w:val="hybridMultilevel"/>
    <w:tmpl w:val="C8E0DD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36B1F53"/>
    <w:multiLevelType w:val="hybridMultilevel"/>
    <w:tmpl w:val="E082632C"/>
    <w:lvl w:ilvl="0" w:tplc="19762EC2">
      <w:start w:val="1"/>
      <w:numFmt w:val="decimal"/>
      <w:lvlText w:val="%1、"/>
      <w:lvlJc w:val="left"/>
      <w:pPr>
        <w:ind w:left="720" w:hanging="720"/>
      </w:pPr>
      <w:rPr>
        <w:rFonts w:ascii="FangSong" w:eastAsia="FangSong" w:hAnsi="FangSong" w:cstheme="minorBidi"/>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143F78FB"/>
    <w:multiLevelType w:val="hybridMultilevel"/>
    <w:tmpl w:val="56B496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47F7F22"/>
    <w:multiLevelType w:val="hybridMultilevel"/>
    <w:tmpl w:val="093E0D2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6AC0484"/>
    <w:multiLevelType w:val="hybridMultilevel"/>
    <w:tmpl w:val="B4C6B46E"/>
    <w:lvl w:ilvl="0" w:tplc="B652FE3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nsid w:val="193075E3"/>
    <w:multiLevelType w:val="hybridMultilevel"/>
    <w:tmpl w:val="B524A7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D130DE9"/>
    <w:multiLevelType w:val="hybridMultilevel"/>
    <w:tmpl w:val="F622370C"/>
    <w:lvl w:ilvl="0" w:tplc="81D4446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nsid w:val="27BE6DB6"/>
    <w:multiLevelType w:val="hybridMultilevel"/>
    <w:tmpl w:val="E082632C"/>
    <w:lvl w:ilvl="0" w:tplc="19762EC2">
      <w:start w:val="1"/>
      <w:numFmt w:val="decimal"/>
      <w:lvlText w:val="%1、"/>
      <w:lvlJc w:val="left"/>
      <w:pPr>
        <w:ind w:left="720" w:hanging="720"/>
      </w:pPr>
      <w:rPr>
        <w:rFonts w:ascii="FangSong" w:eastAsia="FangSong" w:hAnsi="FangSong" w:cstheme="minorBidi"/>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5">
    <w:nsid w:val="28A85DC7"/>
    <w:multiLevelType w:val="hybridMultilevel"/>
    <w:tmpl w:val="E58A662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A5B1D65"/>
    <w:multiLevelType w:val="hybridMultilevel"/>
    <w:tmpl w:val="56B8521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C8F2303"/>
    <w:multiLevelType w:val="hybridMultilevel"/>
    <w:tmpl w:val="9F4CAE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FB321DA"/>
    <w:multiLevelType w:val="hybridMultilevel"/>
    <w:tmpl w:val="E8A232F2"/>
    <w:lvl w:ilvl="0" w:tplc="CE542124">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9">
    <w:nsid w:val="35360BF9"/>
    <w:multiLevelType w:val="hybridMultilevel"/>
    <w:tmpl w:val="2780D1EA"/>
    <w:lvl w:ilvl="0" w:tplc="7C08AE48">
      <w:start w:val="1"/>
      <w:numFmt w:val="bullet"/>
      <w:lvlText w:val=""/>
      <w:lvlJc w:val="left"/>
      <w:pPr>
        <w:tabs>
          <w:tab w:val="num" w:pos="720"/>
        </w:tabs>
        <w:ind w:left="720" w:hanging="360"/>
      </w:pPr>
      <w:rPr>
        <w:rFonts w:ascii="Wingdings" w:hAnsi="Wingdings" w:hint="default"/>
      </w:rPr>
    </w:lvl>
    <w:lvl w:ilvl="1" w:tplc="A474A7EC" w:tentative="1">
      <w:start w:val="1"/>
      <w:numFmt w:val="bullet"/>
      <w:lvlText w:val=""/>
      <w:lvlJc w:val="left"/>
      <w:pPr>
        <w:tabs>
          <w:tab w:val="num" w:pos="1440"/>
        </w:tabs>
        <w:ind w:left="1440" w:hanging="360"/>
      </w:pPr>
      <w:rPr>
        <w:rFonts w:ascii="Wingdings" w:hAnsi="Wingdings" w:hint="default"/>
      </w:rPr>
    </w:lvl>
    <w:lvl w:ilvl="2" w:tplc="8EBE983C" w:tentative="1">
      <w:start w:val="1"/>
      <w:numFmt w:val="bullet"/>
      <w:lvlText w:val=""/>
      <w:lvlJc w:val="left"/>
      <w:pPr>
        <w:tabs>
          <w:tab w:val="num" w:pos="2160"/>
        </w:tabs>
        <w:ind w:left="2160" w:hanging="360"/>
      </w:pPr>
      <w:rPr>
        <w:rFonts w:ascii="Wingdings" w:hAnsi="Wingdings" w:hint="default"/>
      </w:rPr>
    </w:lvl>
    <w:lvl w:ilvl="3" w:tplc="D66209AC" w:tentative="1">
      <w:start w:val="1"/>
      <w:numFmt w:val="bullet"/>
      <w:lvlText w:val=""/>
      <w:lvlJc w:val="left"/>
      <w:pPr>
        <w:tabs>
          <w:tab w:val="num" w:pos="2880"/>
        </w:tabs>
        <w:ind w:left="2880" w:hanging="360"/>
      </w:pPr>
      <w:rPr>
        <w:rFonts w:ascii="Wingdings" w:hAnsi="Wingdings" w:hint="default"/>
      </w:rPr>
    </w:lvl>
    <w:lvl w:ilvl="4" w:tplc="84ECF3CE" w:tentative="1">
      <w:start w:val="1"/>
      <w:numFmt w:val="bullet"/>
      <w:lvlText w:val=""/>
      <w:lvlJc w:val="left"/>
      <w:pPr>
        <w:tabs>
          <w:tab w:val="num" w:pos="3600"/>
        </w:tabs>
        <w:ind w:left="3600" w:hanging="360"/>
      </w:pPr>
      <w:rPr>
        <w:rFonts w:ascii="Wingdings" w:hAnsi="Wingdings" w:hint="default"/>
      </w:rPr>
    </w:lvl>
    <w:lvl w:ilvl="5" w:tplc="C1FEBE6A" w:tentative="1">
      <w:start w:val="1"/>
      <w:numFmt w:val="bullet"/>
      <w:lvlText w:val=""/>
      <w:lvlJc w:val="left"/>
      <w:pPr>
        <w:tabs>
          <w:tab w:val="num" w:pos="4320"/>
        </w:tabs>
        <w:ind w:left="4320" w:hanging="360"/>
      </w:pPr>
      <w:rPr>
        <w:rFonts w:ascii="Wingdings" w:hAnsi="Wingdings" w:hint="default"/>
      </w:rPr>
    </w:lvl>
    <w:lvl w:ilvl="6" w:tplc="75EECB0C" w:tentative="1">
      <w:start w:val="1"/>
      <w:numFmt w:val="bullet"/>
      <w:lvlText w:val=""/>
      <w:lvlJc w:val="left"/>
      <w:pPr>
        <w:tabs>
          <w:tab w:val="num" w:pos="5040"/>
        </w:tabs>
        <w:ind w:left="5040" w:hanging="360"/>
      </w:pPr>
      <w:rPr>
        <w:rFonts w:ascii="Wingdings" w:hAnsi="Wingdings" w:hint="default"/>
      </w:rPr>
    </w:lvl>
    <w:lvl w:ilvl="7" w:tplc="1ADA8A02" w:tentative="1">
      <w:start w:val="1"/>
      <w:numFmt w:val="bullet"/>
      <w:lvlText w:val=""/>
      <w:lvlJc w:val="left"/>
      <w:pPr>
        <w:tabs>
          <w:tab w:val="num" w:pos="5760"/>
        </w:tabs>
        <w:ind w:left="5760" w:hanging="360"/>
      </w:pPr>
      <w:rPr>
        <w:rFonts w:ascii="Wingdings" w:hAnsi="Wingdings" w:hint="default"/>
      </w:rPr>
    </w:lvl>
    <w:lvl w:ilvl="8" w:tplc="D81EA4F6" w:tentative="1">
      <w:start w:val="1"/>
      <w:numFmt w:val="bullet"/>
      <w:lvlText w:val=""/>
      <w:lvlJc w:val="left"/>
      <w:pPr>
        <w:tabs>
          <w:tab w:val="num" w:pos="6480"/>
        </w:tabs>
        <w:ind w:left="6480" w:hanging="360"/>
      </w:pPr>
      <w:rPr>
        <w:rFonts w:ascii="Wingdings" w:hAnsi="Wingdings" w:hint="default"/>
      </w:rPr>
    </w:lvl>
  </w:abstractNum>
  <w:abstractNum w:abstractNumId="20">
    <w:nsid w:val="37921DED"/>
    <w:multiLevelType w:val="hybridMultilevel"/>
    <w:tmpl w:val="6E0653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3512CE6"/>
    <w:multiLevelType w:val="hybridMultilevel"/>
    <w:tmpl w:val="44B2BF6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5C54E2C"/>
    <w:multiLevelType w:val="hybridMultilevel"/>
    <w:tmpl w:val="84203A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A4C7704"/>
    <w:multiLevelType w:val="hybridMultilevel"/>
    <w:tmpl w:val="B8C4A51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FC34102"/>
    <w:multiLevelType w:val="hybridMultilevel"/>
    <w:tmpl w:val="F2949808"/>
    <w:lvl w:ilvl="0" w:tplc="9124B902">
      <w:start w:val="2"/>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nsid w:val="4FFA6A4A"/>
    <w:multiLevelType w:val="hybridMultilevel"/>
    <w:tmpl w:val="9DD232CA"/>
    <w:lvl w:ilvl="0" w:tplc="47C4941C">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6">
    <w:nsid w:val="5E135982"/>
    <w:multiLevelType w:val="hybridMultilevel"/>
    <w:tmpl w:val="600C0BA8"/>
    <w:lvl w:ilvl="0" w:tplc="30C44256">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7">
    <w:nsid w:val="63272E30"/>
    <w:multiLevelType w:val="hybridMultilevel"/>
    <w:tmpl w:val="6A54B93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661172D0"/>
    <w:multiLevelType w:val="hybridMultilevel"/>
    <w:tmpl w:val="600C0BA8"/>
    <w:lvl w:ilvl="0" w:tplc="30C44256">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nsid w:val="665A5F19"/>
    <w:multiLevelType w:val="hybridMultilevel"/>
    <w:tmpl w:val="7696E798"/>
    <w:lvl w:ilvl="0" w:tplc="D07472C6">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0">
    <w:nsid w:val="6F2232F4"/>
    <w:multiLevelType w:val="hybridMultilevel"/>
    <w:tmpl w:val="023E87AE"/>
    <w:lvl w:ilvl="0" w:tplc="1390CF94">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1">
    <w:nsid w:val="75D301B3"/>
    <w:multiLevelType w:val="hybridMultilevel"/>
    <w:tmpl w:val="9A94B9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F1D406B"/>
    <w:multiLevelType w:val="hybridMultilevel"/>
    <w:tmpl w:val="5FEA15B6"/>
    <w:lvl w:ilvl="0" w:tplc="F77CD0C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3"/>
  </w:num>
  <w:num w:numId="3">
    <w:abstractNumId w:val="25"/>
  </w:num>
  <w:num w:numId="4">
    <w:abstractNumId w:val="30"/>
  </w:num>
  <w:num w:numId="5">
    <w:abstractNumId w:val="26"/>
  </w:num>
  <w:num w:numId="6">
    <w:abstractNumId w:val="22"/>
  </w:num>
  <w:num w:numId="7">
    <w:abstractNumId w:val="12"/>
  </w:num>
  <w:num w:numId="8">
    <w:abstractNumId w:val="15"/>
  </w:num>
  <w:num w:numId="9">
    <w:abstractNumId w:val="16"/>
  </w:num>
  <w:num w:numId="10">
    <w:abstractNumId w:val="29"/>
  </w:num>
  <w:num w:numId="11">
    <w:abstractNumId w:val="32"/>
  </w:num>
  <w:num w:numId="12">
    <w:abstractNumId w:val="6"/>
  </w:num>
  <w:num w:numId="13">
    <w:abstractNumId w:val="23"/>
  </w:num>
  <w:num w:numId="14">
    <w:abstractNumId w:val="7"/>
  </w:num>
  <w:num w:numId="15">
    <w:abstractNumId w:val="9"/>
  </w:num>
  <w:num w:numId="16">
    <w:abstractNumId w:val="0"/>
  </w:num>
  <w:num w:numId="17">
    <w:abstractNumId w:val="14"/>
  </w:num>
  <w:num w:numId="18">
    <w:abstractNumId w:val="3"/>
  </w:num>
  <w:num w:numId="19">
    <w:abstractNumId w:val="20"/>
  </w:num>
  <w:num w:numId="20">
    <w:abstractNumId w:val="24"/>
  </w:num>
  <w:num w:numId="21">
    <w:abstractNumId w:val="4"/>
  </w:num>
  <w:num w:numId="22">
    <w:abstractNumId w:val="27"/>
  </w:num>
  <w:num w:numId="23">
    <w:abstractNumId w:val="10"/>
  </w:num>
  <w:num w:numId="24">
    <w:abstractNumId w:val="17"/>
  </w:num>
  <w:num w:numId="25">
    <w:abstractNumId w:val="31"/>
  </w:num>
  <w:num w:numId="26">
    <w:abstractNumId w:val="5"/>
  </w:num>
  <w:num w:numId="27">
    <w:abstractNumId w:val="21"/>
  </w:num>
  <w:num w:numId="28">
    <w:abstractNumId w:val="8"/>
  </w:num>
  <w:num w:numId="29">
    <w:abstractNumId w:val="28"/>
  </w:num>
  <w:num w:numId="30">
    <w:abstractNumId w:val="11"/>
  </w:num>
  <w:num w:numId="31">
    <w:abstractNumId w:val="19"/>
  </w:num>
  <w:num w:numId="32">
    <w:abstractNumId w:val="1"/>
  </w:num>
  <w:num w:numId="33">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E5"/>
    <w:rsid w:val="00011B45"/>
    <w:rsid w:val="0002019C"/>
    <w:rsid w:val="00025C5D"/>
    <w:rsid w:val="00031FD5"/>
    <w:rsid w:val="00033986"/>
    <w:rsid w:val="00034524"/>
    <w:rsid w:val="00035B01"/>
    <w:rsid w:val="00045800"/>
    <w:rsid w:val="00053280"/>
    <w:rsid w:val="0006148D"/>
    <w:rsid w:val="000A193A"/>
    <w:rsid w:val="000D1DA3"/>
    <w:rsid w:val="000E6A64"/>
    <w:rsid w:val="00103F04"/>
    <w:rsid w:val="001059D0"/>
    <w:rsid w:val="001147D6"/>
    <w:rsid w:val="00122C2C"/>
    <w:rsid w:val="001244D5"/>
    <w:rsid w:val="00130B04"/>
    <w:rsid w:val="0013463A"/>
    <w:rsid w:val="001359E2"/>
    <w:rsid w:val="0014640C"/>
    <w:rsid w:val="0016302B"/>
    <w:rsid w:val="001773E0"/>
    <w:rsid w:val="00185D98"/>
    <w:rsid w:val="001903BD"/>
    <w:rsid w:val="00194B53"/>
    <w:rsid w:val="001965A0"/>
    <w:rsid w:val="00197DED"/>
    <w:rsid w:val="001A2F19"/>
    <w:rsid w:val="001A7908"/>
    <w:rsid w:val="001B7AD8"/>
    <w:rsid w:val="001E0EAA"/>
    <w:rsid w:val="001F24D9"/>
    <w:rsid w:val="00200E24"/>
    <w:rsid w:val="00201D6B"/>
    <w:rsid w:val="00225C30"/>
    <w:rsid w:val="00246B3C"/>
    <w:rsid w:val="002609AF"/>
    <w:rsid w:val="00265078"/>
    <w:rsid w:val="00265ACC"/>
    <w:rsid w:val="002663C6"/>
    <w:rsid w:val="00267178"/>
    <w:rsid w:val="002752F6"/>
    <w:rsid w:val="00290CE5"/>
    <w:rsid w:val="002927C2"/>
    <w:rsid w:val="0029289A"/>
    <w:rsid w:val="002A2DB5"/>
    <w:rsid w:val="002B3489"/>
    <w:rsid w:val="002C0A29"/>
    <w:rsid w:val="002C7ED6"/>
    <w:rsid w:val="002D368F"/>
    <w:rsid w:val="002D7FBB"/>
    <w:rsid w:val="002E094C"/>
    <w:rsid w:val="002E5E9D"/>
    <w:rsid w:val="002F1490"/>
    <w:rsid w:val="0030126B"/>
    <w:rsid w:val="003033F6"/>
    <w:rsid w:val="00307F52"/>
    <w:rsid w:val="00326A7E"/>
    <w:rsid w:val="0033388E"/>
    <w:rsid w:val="00352648"/>
    <w:rsid w:val="00360885"/>
    <w:rsid w:val="00366930"/>
    <w:rsid w:val="003728DD"/>
    <w:rsid w:val="003811C3"/>
    <w:rsid w:val="0039153E"/>
    <w:rsid w:val="0039786C"/>
    <w:rsid w:val="003A17BB"/>
    <w:rsid w:val="003A37FF"/>
    <w:rsid w:val="003A5BBC"/>
    <w:rsid w:val="003B2977"/>
    <w:rsid w:val="003B3F14"/>
    <w:rsid w:val="003B6B89"/>
    <w:rsid w:val="003B7A07"/>
    <w:rsid w:val="003C1D3B"/>
    <w:rsid w:val="003C5B3E"/>
    <w:rsid w:val="003E0495"/>
    <w:rsid w:val="003F3E03"/>
    <w:rsid w:val="003F54C5"/>
    <w:rsid w:val="00407C27"/>
    <w:rsid w:val="00424B57"/>
    <w:rsid w:val="00425C3A"/>
    <w:rsid w:val="0043006F"/>
    <w:rsid w:val="00437B98"/>
    <w:rsid w:val="004456F1"/>
    <w:rsid w:val="00483D03"/>
    <w:rsid w:val="004937E0"/>
    <w:rsid w:val="00493E7A"/>
    <w:rsid w:val="00494970"/>
    <w:rsid w:val="00497059"/>
    <w:rsid w:val="004B58B8"/>
    <w:rsid w:val="00502E93"/>
    <w:rsid w:val="00534AEE"/>
    <w:rsid w:val="005443A4"/>
    <w:rsid w:val="00545E48"/>
    <w:rsid w:val="00546097"/>
    <w:rsid w:val="00546ACD"/>
    <w:rsid w:val="00554BF1"/>
    <w:rsid w:val="00571C8F"/>
    <w:rsid w:val="00575CD0"/>
    <w:rsid w:val="00575EDF"/>
    <w:rsid w:val="005772F7"/>
    <w:rsid w:val="00583947"/>
    <w:rsid w:val="00597F58"/>
    <w:rsid w:val="005B2696"/>
    <w:rsid w:val="005B2DB3"/>
    <w:rsid w:val="005C2BC9"/>
    <w:rsid w:val="005C51C4"/>
    <w:rsid w:val="005D323E"/>
    <w:rsid w:val="005D5FC1"/>
    <w:rsid w:val="005D69DC"/>
    <w:rsid w:val="005F18AB"/>
    <w:rsid w:val="005F4058"/>
    <w:rsid w:val="006263B4"/>
    <w:rsid w:val="00642C44"/>
    <w:rsid w:val="00642CE2"/>
    <w:rsid w:val="00643945"/>
    <w:rsid w:val="00655D6B"/>
    <w:rsid w:val="006742F0"/>
    <w:rsid w:val="006A6673"/>
    <w:rsid w:val="006B78D0"/>
    <w:rsid w:val="006C2F0C"/>
    <w:rsid w:val="006E4146"/>
    <w:rsid w:val="00707EE8"/>
    <w:rsid w:val="00715DFB"/>
    <w:rsid w:val="00727E62"/>
    <w:rsid w:val="00740AA0"/>
    <w:rsid w:val="00752B94"/>
    <w:rsid w:val="00761FE6"/>
    <w:rsid w:val="00767F51"/>
    <w:rsid w:val="00792C4B"/>
    <w:rsid w:val="00797B28"/>
    <w:rsid w:val="007A1369"/>
    <w:rsid w:val="007A150B"/>
    <w:rsid w:val="007A24DD"/>
    <w:rsid w:val="007A78A8"/>
    <w:rsid w:val="007C0BBD"/>
    <w:rsid w:val="007C1894"/>
    <w:rsid w:val="007D6DFC"/>
    <w:rsid w:val="007F045E"/>
    <w:rsid w:val="007F7DBD"/>
    <w:rsid w:val="0083072D"/>
    <w:rsid w:val="0083449E"/>
    <w:rsid w:val="008443C5"/>
    <w:rsid w:val="00855AF3"/>
    <w:rsid w:val="008A51A3"/>
    <w:rsid w:val="008A53B0"/>
    <w:rsid w:val="008A5463"/>
    <w:rsid w:val="008B0B53"/>
    <w:rsid w:val="008B2214"/>
    <w:rsid w:val="008E5E4B"/>
    <w:rsid w:val="008F46A1"/>
    <w:rsid w:val="008F5798"/>
    <w:rsid w:val="00911A10"/>
    <w:rsid w:val="00924F27"/>
    <w:rsid w:val="00932280"/>
    <w:rsid w:val="0093241B"/>
    <w:rsid w:val="0093474C"/>
    <w:rsid w:val="00944EC4"/>
    <w:rsid w:val="00947E78"/>
    <w:rsid w:val="009854BE"/>
    <w:rsid w:val="00992A27"/>
    <w:rsid w:val="00995104"/>
    <w:rsid w:val="009A5307"/>
    <w:rsid w:val="009B0DD9"/>
    <w:rsid w:val="009B65C6"/>
    <w:rsid w:val="009B7F1C"/>
    <w:rsid w:val="009C2D57"/>
    <w:rsid w:val="009D272A"/>
    <w:rsid w:val="009D4D6E"/>
    <w:rsid w:val="009D59CD"/>
    <w:rsid w:val="009D68E5"/>
    <w:rsid w:val="009D6A00"/>
    <w:rsid w:val="009E079A"/>
    <w:rsid w:val="009F14FD"/>
    <w:rsid w:val="009F26FD"/>
    <w:rsid w:val="009F463A"/>
    <w:rsid w:val="00A11E73"/>
    <w:rsid w:val="00A1290C"/>
    <w:rsid w:val="00A2110A"/>
    <w:rsid w:val="00A26EAC"/>
    <w:rsid w:val="00A4195F"/>
    <w:rsid w:val="00A51F5D"/>
    <w:rsid w:val="00A547FE"/>
    <w:rsid w:val="00A8121A"/>
    <w:rsid w:val="00A85AFA"/>
    <w:rsid w:val="00AB1E05"/>
    <w:rsid w:val="00AD7801"/>
    <w:rsid w:val="00AF01A2"/>
    <w:rsid w:val="00AF492A"/>
    <w:rsid w:val="00B12CC0"/>
    <w:rsid w:val="00B20409"/>
    <w:rsid w:val="00B27D44"/>
    <w:rsid w:val="00B63664"/>
    <w:rsid w:val="00B66C5A"/>
    <w:rsid w:val="00B76C2B"/>
    <w:rsid w:val="00B82839"/>
    <w:rsid w:val="00B9048E"/>
    <w:rsid w:val="00B94951"/>
    <w:rsid w:val="00BA3881"/>
    <w:rsid w:val="00BB334E"/>
    <w:rsid w:val="00BB45A4"/>
    <w:rsid w:val="00BC0664"/>
    <w:rsid w:val="00BD098F"/>
    <w:rsid w:val="00BD61C6"/>
    <w:rsid w:val="00BD6E97"/>
    <w:rsid w:val="00BF3A13"/>
    <w:rsid w:val="00BF53D2"/>
    <w:rsid w:val="00C00CEE"/>
    <w:rsid w:val="00C0131F"/>
    <w:rsid w:val="00C02E13"/>
    <w:rsid w:val="00C04B31"/>
    <w:rsid w:val="00C22BB7"/>
    <w:rsid w:val="00C26275"/>
    <w:rsid w:val="00C560F1"/>
    <w:rsid w:val="00C62A9C"/>
    <w:rsid w:val="00C8001C"/>
    <w:rsid w:val="00C87BAB"/>
    <w:rsid w:val="00C936AF"/>
    <w:rsid w:val="00C93748"/>
    <w:rsid w:val="00C9452A"/>
    <w:rsid w:val="00CA6943"/>
    <w:rsid w:val="00CB4300"/>
    <w:rsid w:val="00CE3304"/>
    <w:rsid w:val="00CE3D98"/>
    <w:rsid w:val="00CF1A5E"/>
    <w:rsid w:val="00D00775"/>
    <w:rsid w:val="00D0176B"/>
    <w:rsid w:val="00D22582"/>
    <w:rsid w:val="00D25BF8"/>
    <w:rsid w:val="00D329D6"/>
    <w:rsid w:val="00D43D17"/>
    <w:rsid w:val="00D44FD3"/>
    <w:rsid w:val="00D52D19"/>
    <w:rsid w:val="00D82067"/>
    <w:rsid w:val="00D84F2E"/>
    <w:rsid w:val="00D870EA"/>
    <w:rsid w:val="00DF44E1"/>
    <w:rsid w:val="00E06C0E"/>
    <w:rsid w:val="00E33733"/>
    <w:rsid w:val="00E424F0"/>
    <w:rsid w:val="00E46C14"/>
    <w:rsid w:val="00E50AAE"/>
    <w:rsid w:val="00E656F0"/>
    <w:rsid w:val="00E70ABA"/>
    <w:rsid w:val="00E7365E"/>
    <w:rsid w:val="00E75F84"/>
    <w:rsid w:val="00E97A1F"/>
    <w:rsid w:val="00EB15A2"/>
    <w:rsid w:val="00EC177A"/>
    <w:rsid w:val="00ED0D60"/>
    <w:rsid w:val="00ED104F"/>
    <w:rsid w:val="00ED1B6D"/>
    <w:rsid w:val="00ED36C1"/>
    <w:rsid w:val="00EE2728"/>
    <w:rsid w:val="00EF0845"/>
    <w:rsid w:val="00EF0AF3"/>
    <w:rsid w:val="00F068A8"/>
    <w:rsid w:val="00F076B8"/>
    <w:rsid w:val="00F101C5"/>
    <w:rsid w:val="00F10362"/>
    <w:rsid w:val="00F11B54"/>
    <w:rsid w:val="00F36243"/>
    <w:rsid w:val="00F41E6E"/>
    <w:rsid w:val="00F46F3E"/>
    <w:rsid w:val="00F72F2A"/>
    <w:rsid w:val="00F74FDE"/>
    <w:rsid w:val="00F811DE"/>
    <w:rsid w:val="00F81D71"/>
    <w:rsid w:val="00FC0230"/>
    <w:rsid w:val="00FC48AD"/>
    <w:rsid w:val="00FD01AB"/>
    <w:rsid w:val="00FD0FB2"/>
    <w:rsid w:val="00FE5E96"/>
    <w:rsid w:val="00FF09DB"/>
    <w:rsid w:val="00FF5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593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C5A"/>
    <w:rPr>
      <w:rFonts w:ascii="Times New Roman" w:hAnsi="Times New Roman" w:cs="Times New Roman"/>
      <w:kern w:val="0"/>
    </w:rPr>
  </w:style>
  <w:style w:type="paragraph" w:styleId="1">
    <w:name w:val="heading 1"/>
    <w:basedOn w:val="a"/>
    <w:next w:val="a"/>
    <w:link w:val="10"/>
    <w:uiPriority w:val="9"/>
    <w:qFormat/>
    <w:rsid w:val="00B63664"/>
    <w:pPr>
      <w:keepNext/>
      <w:keepLines/>
      <w:widowControl w:val="0"/>
      <w:spacing w:before="340" w:after="330" w:line="578" w:lineRule="auto"/>
      <w:jc w:val="both"/>
      <w:outlineLvl w:val="0"/>
    </w:pPr>
    <w:rPr>
      <w:rFonts w:asciiTheme="minorHAnsi" w:hAnsiTheme="minorHAnsi" w:cstheme="minorBidi"/>
      <w:b/>
      <w:bCs/>
      <w:kern w:val="44"/>
      <w:sz w:val="44"/>
      <w:szCs w:val="44"/>
    </w:rPr>
  </w:style>
  <w:style w:type="paragraph" w:styleId="2">
    <w:name w:val="heading 2"/>
    <w:basedOn w:val="a"/>
    <w:next w:val="a"/>
    <w:link w:val="20"/>
    <w:uiPriority w:val="9"/>
    <w:unhideWhenUsed/>
    <w:qFormat/>
    <w:rsid w:val="00A51F5D"/>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CE5"/>
    <w:pPr>
      <w:widowControl w:val="0"/>
      <w:ind w:firstLineChars="200" w:firstLine="420"/>
      <w:jc w:val="both"/>
    </w:pPr>
    <w:rPr>
      <w:rFonts w:asciiTheme="minorHAnsi" w:hAnsiTheme="minorHAnsi" w:cstheme="minorBidi"/>
      <w:kern w:val="2"/>
    </w:rPr>
  </w:style>
  <w:style w:type="table" w:styleId="a4">
    <w:name w:val="Table Grid"/>
    <w:basedOn w:val="a1"/>
    <w:uiPriority w:val="39"/>
    <w:rsid w:val="00F06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B63664"/>
    <w:rPr>
      <w:b/>
      <w:bCs/>
      <w:kern w:val="44"/>
      <w:sz w:val="44"/>
      <w:szCs w:val="44"/>
    </w:rPr>
  </w:style>
  <w:style w:type="character" w:customStyle="1" w:styleId="20">
    <w:name w:val="标题 2字符"/>
    <w:basedOn w:val="a0"/>
    <w:link w:val="2"/>
    <w:uiPriority w:val="9"/>
    <w:rsid w:val="00A51F5D"/>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39786C"/>
    <w:pPr>
      <w:widowControl w:val="0"/>
      <w:jc w:val="both"/>
    </w:pPr>
    <w:rPr>
      <w:rFonts w:asciiTheme="minorHAnsi" w:hAnsiTheme="minorHAnsi" w:cstheme="minorBidi"/>
      <w:kern w:val="2"/>
    </w:rPr>
  </w:style>
  <w:style w:type="paragraph" w:styleId="21">
    <w:name w:val="toc 2"/>
    <w:basedOn w:val="a"/>
    <w:next w:val="a"/>
    <w:autoRedefine/>
    <w:uiPriority w:val="39"/>
    <w:unhideWhenUsed/>
    <w:rsid w:val="0039786C"/>
    <w:pPr>
      <w:widowControl w:val="0"/>
      <w:ind w:left="240"/>
      <w:jc w:val="both"/>
    </w:pPr>
    <w:rPr>
      <w:rFonts w:asciiTheme="minorHAnsi" w:hAnsiTheme="minorHAnsi" w:cstheme="minorBidi"/>
      <w:kern w:val="2"/>
    </w:rPr>
  </w:style>
  <w:style w:type="paragraph" w:styleId="3">
    <w:name w:val="toc 3"/>
    <w:basedOn w:val="a"/>
    <w:next w:val="a"/>
    <w:autoRedefine/>
    <w:uiPriority w:val="39"/>
    <w:unhideWhenUsed/>
    <w:rsid w:val="0039786C"/>
    <w:pPr>
      <w:widowControl w:val="0"/>
      <w:ind w:left="480"/>
      <w:jc w:val="both"/>
    </w:pPr>
    <w:rPr>
      <w:rFonts w:asciiTheme="minorHAnsi" w:hAnsiTheme="minorHAnsi" w:cstheme="minorBidi"/>
      <w:kern w:val="2"/>
    </w:rPr>
  </w:style>
  <w:style w:type="paragraph" w:styleId="4">
    <w:name w:val="toc 4"/>
    <w:basedOn w:val="a"/>
    <w:next w:val="a"/>
    <w:autoRedefine/>
    <w:uiPriority w:val="39"/>
    <w:unhideWhenUsed/>
    <w:rsid w:val="0039786C"/>
    <w:pPr>
      <w:widowControl w:val="0"/>
      <w:ind w:left="720"/>
      <w:jc w:val="both"/>
    </w:pPr>
    <w:rPr>
      <w:rFonts w:asciiTheme="minorHAnsi" w:hAnsiTheme="minorHAnsi" w:cstheme="minorBidi"/>
      <w:kern w:val="2"/>
    </w:rPr>
  </w:style>
  <w:style w:type="paragraph" w:styleId="5">
    <w:name w:val="toc 5"/>
    <w:basedOn w:val="a"/>
    <w:next w:val="a"/>
    <w:autoRedefine/>
    <w:uiPriority w:val="39"/>
    <w:unhideWhenUsed/>
    <w:rsid w:val="0039786C"/>
    <w:pPr>
      <w:widowControl w:val="0"/>
      <w:ind w:left="960"/>
      <w:jc w:val="both"/>
    </w:pPr>
    <w:rPr>
      <w:rFonts w:asciiTheme="minorHAnsi" w:hAnsiTheme="minorHAnsi" w:cstheme="minorBidi"/>
      <w:kern w:val="2"/>
    </w:rPr>
  </w:style>
  <w:style w:type="paragraph" w:styleId="6">
    <w:name w:val="toc 6"/>
    <w:basedOn w:val="a"/>
    <w:next w:val="a"/>
    <w:autoRedefine/>
    <w:uiPriority w:val="39"/>
    <w:unhideWhenUsed/>
    <w:rsid w:val="0039786C"/>
    <w:pPr>
      <w:widowControl w:val="0"/>
      <w:ind w:left="1200"/>
      <w:jc w:val="both"/>
    </w:pPr>
    <w:rPr>
      <w:rFonts w:asciiTheme="minorHAnsi" w:hAnsiTheme="minorHAnsi" w:cstheme="minorBidi"/>
      <w:kern w:val="2"/>
    </w:rPr>
  </w:style>
  <w:style w:type="paragraph" w:styleId="7">
    <w:name w:val="toc 7"/>
    <w:basedOn w:val="a"/>
    <w:next w:val="a"/>
    <w:autoRedefine/>
    <w:uiPriority w:val="39"/>
    <w:unhideWhenUsed/>
    <w:rsid w:val="0039786C"/>
    <w:pPr>
      <w:widowControl w:val="0"/>
      <w:ind w:left="1440"/>
      <w:jc w:val="both"/>
    </w:pPr>
    <w:rPr>
      <w:rFonts w:asciiTheme="minorHAnsi" w:hAnsiTheme="minorHAnsi" w:cstheme="minorBidi"/>
      <w:kern w:val="2"/>
    </w:rPr>
  </w:style>
  <w:style w:type="paragraph" w:styleId="8">
    <w:name w:val="toc 8"/>
    <w:basedOn w:val="a"/>
    <w:next w:val="a"/>
    <w:autoRedefine/>
    <w:uiPriority w:val="39"/>
    <w:unhideWhenUsed/>
    <w:rsid w:val="0039786C"/>
    <w:pPr>
      <w:widowControl w:val="0"/>
      <w:ind w:left="1680"/>
      <w:jc w:val="both"/>
    </w:pPr>
    <w:rPr>
      <w:rFonts w:asciiTheme="minorHAnsi" w:hAnsiTheme="minorHAnsi" w:cstheme="minorBidi"/>
      <w:kern w:val="2"/>
    </w:rPr>
  </w:style>
  <w:style w:type="paragraph" w:styleId="9">
    <w:name w:val="toc 9"/>
    <w:basedOn w:val="a"/>
    <w:next w:val="a"/>
    <w:autoRedefine/>
    <w:uiPriority w:val="39"/>
    <w:unhideWhenUsed/>
    <w:rsid w:val="0039786C"/>
    <w:pPr>
      <w:widowControl w:val="0"/>
      <w:ind w:left="1920"/>
      <w:jc w:val="both"/>
    </w:pPr>
    <w:rPr>
      <w:rFonts w:asciiTheme="minorHAnsi" w:hAnsiTheme="minorHAnsi" w:cstheme="minorBidi"/>
      <w:kern w:val="2"/>
    </w:rPr>
  </w:style>
  <w:style w:type="paragraph" w:styleId="a5">
    <w:name w:val="header"/>
    <w:basedOn w:val="a"/>
    <w:link w:val="a6"/>
    <w:uiPriority w:val="99"/>
    <w:unhideWhenUsed/>
    <w:rsid w:val="002A2DB5"/>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a6">
    <w:name w:val="页眉字符"/>
    <w:basedOn w:val="a0"/>
    <w:link w:val="a5"/>
    <w:uiPriority w:val="99"/>
    <w:rsid w:val="002A2DB5"/>
    <w:rPr>
      <w:sz w:val="18"/>
      <w:szCs w:val="18"/>
    </w:rPr>
  </w:style>
  <w:style w:type="paragraph" w:styleId="a7">
    <w:name w:val="footer"/>
    <w:basedOn w:val="a"/>
    <w:link w:val="a8"/>
    <w:uiPriority w:val="99"/>
    <w:unhideWhenUsed/>
    <w:rsid w:val="002A2DB5"/>
    <w:pPr>
      <w:widowControl w:val="0"/>
      <w:tabs>
        <w:tab w:val="center" w:pos="4153"/>
        <w:tab w:val="right" w:pos="8306"/>
      </w:tabs>
      <w:snapToGrid w:val="0"/>
    </w:pPr>
    <w:rPr>
      <w:rFonts w:asciiTheme="minorHAnsi" w:hAnsiTheme="minorHAnsi" w:cstheme="minorBidi"/>
      <w:kern w:val="2"/>
      <w:sz w:val="18"/>
      <w:szCs w:val="18"/>
    </w:rPr>
  </w:style>
  <w:style w:type="character" w:customStyle="1" w:styleId="a8">
    <w:name w:val="页脚字符"/>
    <w:basedOn w:val="a0"/>
    <w:link w:val="a7"/>
    <w:uiPriority w:val="99"/>
    <w:rsid w:val="002A2DB5"/>
    <w:rPr>
      <w:sz w:val="18"/>
      <w:szCs w:val="18"/>
    </w:rPr>
  </w:style>
  <w:style w:type="character" w:styleId="a9">
    <w:name w:val="page number"/>
    <w:basedOn w:val="a0"/>
    <w:uiPriority w:val="99"/>
    <w:semiHidden/>
    <w:unhideWhenUsed/>
    <w:rsid w:val="002A2DB5"/>
  </w:style>
  <w:style w:type="paragraph" w:styleId="aa">
    <w:name w:val="Normal (Web)"/>
    <w:basedOn w:val="a"/>
    <w:uiPriority w:val="99"/>
    <w:semiHidden/>
    <w:unhideWhenUsed/>
    <w:rsid w:val="009B7F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3160">
      <w:bodyDiv w:val="1"/>
      <w:marLeft w:val="0"/>
      <w:marRight w:val="0"/>
      <w:marTop w:val="0"/>
      <w:marBottom w:val="0"/>
      <w:divBdr>
        <w:top w:val="none" w:sz="0" w:space="0" w:color="auto"/>
        <w:left w:val="none" w:sz="0" w:space="0" w:color="auto"/>
        <w:bottom w:val="none" w:sz="0" w:space="0" w:color="auto"/>
        <w:right w:val="none" w:sz="0" w:space="0" w:color="auto"/>
      </w:divBdr>
    </w:div>
    <w:div w:id="87428997">
      <w:bodyDiv w:val="1"/>
      <w:marLeft w:val="0"/>
      <w:marRight w:val="0"/>
      <w:marTop w:val="0"/>
      <w:marBottom w:val="0"/>
      <w:divBdr>
        <w:top w:val="none" w:sz="0" w:space="0" w:color="auto"/>
        <w:left w:val="none" w:sz="0" w:space="0" w:color="auto"/>
        <w:bottom w:val="none" w:sz="0" w:space="0" w:color="auto"/>
        <w:right w:val="none" w:sz="0" w:space="0" w:color="auto"/>
      </w:divBdr>
    </w:div>
    <w:div w:id="110439249">
      <w:bodyDiv w:val="1"/>
      <w:marLeft w:val="0"/>
      <w:marRight w:val="0"/>
      <w:marTop w:val="0"/>
      <w:marBottom w:val="0"/>
      <w:divBdr>
        <w:top w:val="none" w:sz="0" w:space="0" w:color="auto"/>
        <w:left w:val="none" w:sz="0" w:space="0" w:color="auto"/>
        <w:bottom w:val="none" w:sz="0" w:space="0" w:color="auto"/>
        <w:right w:val="none" w:sz="0" w:space="0" w:color="auto"/>
      </w:divBdr>
    </w:div>
    <w:div w:id="135070189">
      <w:bodyDiv w:val="1"/>
      <w:marLeft w:val="0"/>
      <w:marRight w:val="0"/>
      <w:marTop w:val="0"/>
      <w:marBottom w:val="0"/>
      <w:divBdr>
        <w:top w:val="none" w:sz="0" w:space="0" w:color="auto"/>
        <w:left w:val="none" w:sz="0" w:space="0" w:color="auto"/>
        <w:bottom w:val="none" w:sz="0" w:space="0" w:color="auto"/>
        <w:right w:val="none" w:sz="0" w:space="0" w:color="auto"/>
      </w:divBdr>
    </w:div>
    <w:div w:id="223495734">
      <w:bodyDiv w:val="1"/>
      <w:marLeft w:val="0"/>
      <w:marRight w:val="0"/>
      <w:marTop w:val="0"/>
      <w:marBottom w:val="0"/>
      <w:divBdr>
        <w:top w:val="none" w:sz="0" w:space="0" w:color="auto"/>
        <w:left w:val="none" w:sz="0" w:space="0" w:color="auto"/>
        <w:bottom w:val="none" w:sz="0" w:space="0" w:color="auto"/>
        <w:right w:val="none" w:sz="0" w:space="0" w:color="auto"/>
      </w:divBdr>
    </w:div>
    <w:div w:id="316107404">
      <w:bodyDiv w:val="1"/>
      <w:marLeft w:val="0"/>
      <w:marRight w:val="0"/>
      <w:marTop w:val="0"/>
      <w:marBottom w:val="0"/>
      <w:divBdr>
        <w:top w:val="none" w:sz="0" w:space="0" w:color="auto"/>
        <w:left w:val="none" w:sz="0" w:space="0" w:color="auto"/>
        <w:bottom w:val="none" w:sz="0" w:space="0" w:color="auto"/>
        <w:right w:val="none" w:sz="0" w:space="0" w:color="auto"/>
      </w:divBdr>
    </w:div>
    <w:div w:id="342823008">
      <w:bodyDiv w:val="1"/>
      <w:marLeft w:val="0"/>
      <w:marRight w:val="0"/>
      <w:marTop w:val="0"/>
      <w:marBottom w:val="0"/>
      <w:divBdr>
        <w:top w:val="none" w:sz="0" w:space="0" w:color="auto"/>
        <w:left w:val="none" w:sz="0" w:space="0" w:color="auto"/>
        <w:bottom w:val="none" w:sz="0" w:space="0" w:color="auto"/>
        <w:right w:val="none" w:sz="0" w:space="0" w:color="auto"/>
      </w:divBdr>
    </w:div>
    <w:div w:id="495730237">
      <w:bodyDiv w:val="1"/>
      <w:marLeft w:val="0"/>
      <w:marRight w:val="0"/>
      <w:marTop w:val="0"/>
      <w:marBottom w:val="0"/>
      <w:divBdr>
        <w:top w:val="none" w:sz="0" w:space="0" w:color="auto"/>
        <w:left w:val="none" w:sz="0" w:space="0" w:color="auto"/>
        <w:bottom w:val="none" w:sz="0" w:space="0" w:color="auto"/>
        <w:right w:val="none" w:sz="0" w:space="0" w:color="auto"/>
      </w:divBdr>
    </w:div>
    <w:div w:id="568923036">
      <w:bodyDiv w:val="1"/>
      <w:marLeft w:val="0"/>
      <w:marRight w:val="0"/>
      <w:marTop w:val="0"/>
      <w:marBottom w:val="0"/>
      <w:divBdr>
        <w:top w:val="none" w:sz="0" w:space="0" w:color="auto"/>
        <w:left w:val="none" w:sz="0" w:space="0" w:color="auto"/>
        <w:bottom w:val="none" w:sz="0" w:space="0" w:color="auto"/>
        <w:right w:val="none" w:sz="0" w:space="0" w:color="auto"/>
      </w:divBdr>
    </w:div>
    <w:div w:id="670913092">
      <w:bodyDiv w:val="1"/>
      <w:marLeft w:val="0"/>
      <w:marRight w:val="0"/>
      <w:marTop w:val="0"/>
      <w:marBottom w:val="0"/>
      <w:divBdr>
        <w:top w:val="none" w:sz="0" w:space="0" w:color="auto"/>
        <w:left w:val="none" w:sz="0" w:space="0" w:color="auto"/>
        <w:bottom w:val="none" w:sz="0" w:space="0" w:color="auto"/>
        <w:right w:val="none" w:sz="0" w:space="0" w:color="auto"/>
      </w:divBdr>
    </w:div>
    <w:div w:id="729378278">
      <w:bodyDiv w:val="1"/>
      <w:marLeft w:val="0"/>
      <w:marRight w:val="0"/>
      <w:marTop w:val="0"/>
      <w:marBottom w:val="0"/>
      <w:divBdr>
        <w:top w:val="none" w:sz="0" w:space="0" w:color="auto"/>
        <w:left w:val="none" w:sz="0" w:space="0" w:color="auto"/>
        <w:bottom w:val="none" w:sz="0" w:space="0" w:color="auto"/>
        <w:right w:val="none" w:sz="0" w:space="0" w:color="auto"/>
      </w:divBdr>
    </w:div>
    <w:div w:id="992172706">
      <w:bodyDiv w:val="1"/>
      <w:marLeft w:val="0"/>
      <w:marRight w:val="0"/>
      <w:marTop w:val="0"/>
      <w:marBottom w:val="0"/>
      <w:divBdr>
        <w:top w:val="none" w:sz="0" w:space="0" w:color="auto"/>
        <w:left w:val="none" w:sz="0" w:space="0" w:color="auto"/>
        <w:bottom w:val="none" w:sz="0" w:space="0" w:color="auto"/>
        <w:right w:val="none" w:sz="0" w:space="0" w:color="auto"/>
      </w:divBdr>
    </w:div>
    <w:div w:id="1082943940">
      <w:bodyDiv w:val="1"/>
      <w:marLeft w:val="0"/>
      <w:marRight w:val="0"/>
      <w:marTop w:val="0"/>
      <w:marBottom w:val="0"/>
      <w:divBdr>
        <w:top w:val="none" w:sz="0" w:space="0" w:color="auto"/>
        <w:left w:val="none" w:sz="0" w:space="0" w:color="auto"/>
        <w:bottom w:val="none" w:sz="0" w:space="0" w:color="auto"/>
        <w:right w:val="none" w:sz="0" w:space="0" w:color="auto"/>
      </w:divBdr>
    </w:div>
    <w:div w:id="1127115783">
      <w:bodyDiv w:val="1"/>
      <w:marLeft w:val="0"/>
      <w:marRight w:val="0"/>
      <w:marTop w:val="0"/>
      <w:marBottom w:val="0"/>
      <w:divBdr>
        <w:top w:val="none" w:sz="0" w:space="0" w:color="auto"/>
        <w:left w:val="none" w:sz="0" w:space="0" w:color="auto"/>
        <w:bottom w:val="none" w:sz="0" w:space="0" w:color="auto"/>
        <w:right w:val="none" w:sz="0" w:space="0" w:color="auto"/>
      </w:divBdr>
    </w:div>
    <w:div w:id="1182664010">
      <w:bodyDiv w:val="1"/>
      <w:marLeft w:val="0"/>
      <w:marRight w:val="0"/>
      <w:marTop w:val="0"/>
      <w:marBottom w:val="0"/>
      <w:divBdr>
        <w:top w:val="none" w:sz="0" w:space="0" w:color="auto"/>
        <w:left w:val="none" w:sz="0" w:space="0" w:color="auto"/>
        <w:bottom w:val="none" w:sz="0" w:space="0" w:color="auto"/>
        <w:right w:val="none" w:sz="0" w:space="0" w:color="auto"/>
      </w:divBdr>
    </w:div>
    <w:div w:id="1205605680">
      <w:bodyDiv w:val="1"/>
      <w:marLeft w:val="0"/>
      <w:marRight w:val="0"/>
      <w:marTop w:val="0"/>
      <w:marBottom w:val="0"/>
      <w:divBdr>
        <w:top w:val="none" w:sz="0" w:space="0" w:color="auto"/>
        <w:left w:val="none" w:sz="0" w:space="0" w:color="auto"/>
        <w:bottom w:val="none" w:sz="0" w:space="0" w:color="auto"/>
        <w:right w:val="none" w:sz="0" w:space="0" w:color="auto"/>
      </w:divBdr>
    </w:div>
    <w:div w:id="1224104938">
      <w:bodyDiv w:val="1"/>
      <w:marLeft w:val="0"/>
      <w:marRight w:val="0"/>
      <w:marTop w:val="0"/>
      <w:marBottom w:val="0"/>
      <w:divBdr>
        <w:top w:val="none" w:sz="0" w:space="0" w:color="auto"/>
        <w:left w:val="none" w:sz="0" w:space="0" w:color="auto"/>
        <w:bottom w:val="none" w:sz="0" w:space="0" w:color="auto"/>
        <w:right w:val="none" w:sz="0" w:space="0" w:color="auto"/>
      </w:divBdr>
    </w:div>
    <w:div w:id="1317806424">
      <w:bodyDiv w:val="1"/>
      <w:marLeft w:val="0"/>
      <w:marRight w:val="0"/>
      <w:marTop w:val="0"/>
      <w:marBottom w:val="0"/>
      <w:divBdr>
        <w:top w:val="none" w:sz="0" w:space="0" w:color="auto"/>
        <w:left w:val="none" w:sz="0" w:space="0" w:color="auto"/>
        <w:bottom w:val="none" w:sz="0" w:space="0" w:color="auto"/>
        <w:right w:val="none" w:sz="0" w:space="0" w:color="auto"/>
      </w:divBdr>
    </w:div>
    <w:div w:id="1396926021">
      <w:bodyDiv w:val="1"/>
      <w:marLeft w:val="0"/>
      <w:marRight w:val="0"/>
      <w:marTop w:val="0"/>
      <w:marBottom w:val="0"/>
      <w:divBdr>
        <w:top w:val="none" w:sz="0" w:space="0" w:color="auto"/>
        <w:left w:val="none" w:sz="0" w:space="0" w:color="auto"/>
        <w:bottom w:val="none" w:sz="0" w:space="0" w:color="auto"/>
        <w:right w:val="none" w:sz="0" w:space="0" w:color="auto"/>
      </w:divBdr>
    </w:div>
    <w:div w:id="1403603385">
      <w:bodyDiv w:val="1"/>
      <w:marLeft w:val="0"/>
      <w:marRight w:val="0"/>
      <w:marTop w:val="0"/>
      <w:marBottom w:val="0"/>
      <w:divBdr>
        <w:top w:val="none" w:sz="0" w:space="0" w:color="auto"/>
        <w:left w:val="none" w:sz="0" w:space="0" w:color="auto"/>
        <w:bottom w:val="none" w:sz="0" w:space="0" w:color="auto"/>
        <w:right w:val="none" w:sz="0" w:space="0" w:color="auto"/>
      </w:divBdr>
    </w:div>
    <w:div w:id="1653561967">
      <w:bodyDiv w:val="1"/>
      <w:marLeft w:val="0"/>
      <w:marRight w:val="0"/>
      <w:marTop w:val="0"/>
      <w:marBottom w:val="0"/>
      <w:divBdr>
        <w:top w:val="none" w:sz="0" w:space="0" w:color="auto"/>
        <w:left w:val="none" w:sz="0" w:space="0" w:color="auto"/>
        <w:bottom w:val="none" w:sz="0" w:space="0" w:color="auto"/>
        <w:right w:val="none" w:sz="0" w:space="0" w:color="auto"/>
      </w:divBdr>
    </w:div>
    <w:div w:id="1711686843">
      <w:bodyDiv w:val="1"/>
      <w:marLeft w:val="0"/>
      <w:marRight w:val="0"/>
      <w:marTop w:val="0"/>
      <w:marBottom w:val="0"/>
      <w:divBdr>
        <w:top w:val="none" w:sz="0" w:space="0" w:color="auto"/>
        <w:left w:val="none" w:sz="0" w:space="0" w:color="auto"/>
        <w:bottom w:val="none" w:sz="0" w:space="0" w:color="auto"/>
        <w:right w:val="none" w:sz="0" w:space="0" w:color="auto"/>
      </w:divBdr>
    </w:div>
    <w:div w:id="1713725480">
      <w:bodyDiv w:val="1"/>
      <w:marLeft w:val="0"/>
      <w:marRight w:val="0"/>
      <w:marTop w:val="0"/>
      <w:marBottom w:val="0"/>
      <w:divBdr>
        <w:top w:val="none" w:sz="0" w:space="0" w:color="auto"/>
        <w:left w:val="none" w:sz="0" w:space="0" w:color="auto"/>
        <w:bottom w:val="none" w:sz="0" w:space="0" w:color="auto"/>
        <w:right w:val="none" w:sz="0" w:space="0" w:color="auto"/>
      </w:divBdr>
    </w:div>
    <w:div w:id="1750227071">
      <w:bodyDiv w:val="1"/>
      <w:marLeft w:val="0"/>
      <w:marRight w:val="0"/>
      <w:marTop w:val="0"/>
      <w:marBottom w:val="0"/>
      <w:divBdr>
        <w:top w:val="none" w:sz="0" w:space="0" w:color="auto"/>
        <w:left w:val="none" w:sz="0" w:space="0" w:color="auto"/>
        <w:bottom w:val="none" w:sz="0" w:space="0" w:color="auto"/>
        <w:right w:val="none" w:sz="0" w:space="0" w:color="auto"/>
      </w:divBdr>
    </w:div>
    <w:div w:id="1779643362">
      <w:bodyDiv w:val="1"/>
      <w:marLeft w:val="0"/>
      <w:marRight w:val="0"/>
      <w:marTop w:val="0"/>
      <w:marBottom w:val="0"/>
      <w:divBdr>
        <w:top w:val="none" w:sz="0" w:space="0" w:color="auto"/>
        <w:left w:val="none" w:sz="0" w:space="0" w:color="auto"/>
        <w:bottom w:val="none" w:sz="0" w:space="0" w:color="auto"/>
        <w:right w:val="none" w:sz="0" w:space="0" w:color="auto"/>
      </w:divBdr>
    </w:div>
    <w:div w:id="1886788749">
      <w:bodyDiv w:val="1"/>
      <w:marLeft w:val="0"/>
      <w:marRight w:val="0"/>
      <w:marTop w:val="0"/>
      <w:marBottom w:val="0"/>
      <w:divBdr>
        <w:top w:val="none" w:sz="0" w:space="0" w:color="auto"/>
        <w:left w:val="none" w:sz="0" w:space="0" w:color="auto"/>
        <w:bottom w:val="none" w:sz="0" w:space="0" w:color="auto"/>
        <w:right w:val="none" w:sz="0" w:space="0" w:color="auto"/>
      </w:divBdr>
    </w:div>
    <w:div w:id="2026444804">
      <w:bodyDiv w:val="1"/>
      <w:marLeft w:val="0"/>
      <w:marRight w:val="0"/>
      <w:marTop w:val="0"/>
      <w:marBottom w:val="0"/>
      <w:divBdr>
        <w:top w:val="none" w:sz="0" w:space="0" w:color="auto"/>
        <w:left w:val="none" w:sz="0" w:space="0" w:color="auto"/>
        <w:bottom w:val="none" w:sz="0" w:space="0" w:color="auto"/>
        <w:right w:val="none" w:sz="0" w:space="0" w:color="auto"/>
      </w:divBdr>
      <w:divsChild>
        <w:div w:id="502741451">
          <w:marLeft w:val="547"/>
          <w:marRight w:val="0"/>
          <w:marTop w:val="0"/>
          <w:marBottom w:val="0"/>
          <w:divBdr>
            <w:top w:val="none" w:sz="0" w:space="0" w:color="auto"/>
            <w:left w:val="none" w:sz="0" w:space="0" w:color="auto"/>
            <w:bottom w:val="none" w:sz="0" w:space="0" w:color="auto"/>
            <w:right w:val="none" w:sz="0" w:space="0" w:color="auto"/>
          </w:divBdr>
        </w:div>
        <w:div w:id="1092824597">
          <w:marLeft w:val="547"/>
          <w:marRight w:val="0"/>
          <w:marTop w:val="0"/>
          <w:marBottom w:val="0"/>
          <w:divBdr>
            <w:top w:val="none" w:sz="0" w:space="0" w:color="auto"/>
            <w:left w:val="none" w:sz="0" w:space="0" w:color="auto"/>
            <w:bottom w:val="none" w:sz="0" w:space="0" w:color="auto"/>
            <w:right w:val="none" w:sz="0" w:space="0" w:color="auto"/>
          </w:divBdr>
        </w:div>
      </w:divsChild>
    </w:div>
    <w:div w:id="2046560770">
      <w:bodyDiv w:val="1"/>
      <w:marLeft w:val="0"/>
      <w:marRight w:val="0"/>
      <w:marTop w:val="0"/>
      <w:marBottom w:val="0"/>
      <w:divBdr>
        <w:top w:val="none" w:sz="0" w:space="0" w:color="auto"/>
        <w:left w:val="none" w:sz="0" w:space="0" w:color="auto"/>
        <w:bottom w:val="none" w:sz="0" w:space="0" w:color="auto"/>
        <w:right w:val="none" w:sz="0" w:space="0" w:color="auto"/>
      </w:divBdr>
    </w:div>
    <w:div w:id="2131124646">
      <w:bodyDiv w:val="1"/>
      <w:marLeft w:val="0"/>
      <w:marRight w:val="0"/>
      <w:marTop w:val="0"/>
      <w:marBottom w:val="0"/>
      <w:divBdr>
        <w:top w:val="none" w:sz="0" w:space="0" w:color="auto"/>
        <w:left w:val="none" w:sz="0" w:space="0" w:color="auto"/>
        <w:bottom w:val="none" w:sz="0" w:space="0" w:color="auto"/>
        <w:right w:val="none" w:sz="0" w:space="0" w:color="auto"/>
      </w:divBdr>
      <w:divsChild>
        <w:div w:id="1848400102">
          <w:marLeft w:val="547"/>
          <w:marRight w:val="0"/>
          <w:marTop w:val="0"/>
          <w:marBottom w:val="0"/>
          <w:divBdr>
            <w:top w:val="none" w:sz="0" w:space="0" w:color="auto"/>
            <w:left w:val="none" w:sz="0" w:space="0" w:color="auto"/>
            <w:bottom w:val="none" w:sz="0" w:space="0" w:color="auto"/>
            <w:right w:val="none" w:sz="0" w:space="0" w:color="auto"/>
          </w:divBdr>
        </w:div>
        <w:div w:id="257056591">
          <w:marLeft w:val="547"/>
          <w:marRight w:val="0"/>
          <w:marTop w:val="0"/>
          <w:marBottom w:val="0"/>
          <w:divBdr>
            <w:top w:val="none" w:sz="0" w:space="0" w:color="auto"/>
            <w:left w:val="none" w:sz="0" w:space="0" w:color="auto"/>
            <w:bottom w:val="none" w:sz="0" w:space="0" w:color="auto"/>
            <w:right w:val="none" w:sz="0" w:space="0" w:color="auto"/>
          </w:divBdr>
        </w:div>
        <w:div w:id="1284120569">
          <w:marLeft w:val="547"/>
          <w:marRight w:val="0"/>
          <w:marTop w:val="0"/>
          <w:marBottom w:val="0"/>
          <w:divBdr>
            <w:top w:val="none" w:sz="0" w:space="0" w:color="auto"/>
            <w:left w:val="none" w:sz="0" w:space="0" w:color="auto"/>
            <w:bottom w:val="none" w:sz="0" w:space="0" w:color="auto"/>
            <w:right w:val="none" w:sz="0" w:space="0" w:color="auto"/>
          </w:divBdr>
        </w:div>
        <w:div w:id="177425765">
          <w:marLeft w:val="547"/>
          <w:marRight w:val="0"/>
          <w:marTop w:val="0"/>
          <w:marBottom w:val="0"/>
          <w:divBdr>
            <w:top w:val="none" w:sz="0" w:space="0" w:color="auto"/>
            <w:left w:val="none" w:sz="0" w:space="0" w:color="auto"/>
            <w:bottom w:val="none" w:sz="0" w:space="0" w:color="auto"/>
            <w:right w:val="none" w:sz="0" w:space="0" w:color="auto"/>
          </w:divBdr>
        </w:div>
        <w:div w:id="87091910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wmf"/><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CBDC76-2713-694D-9FB6-2443C533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73</Pages>
  <Words>5002</Words>
  <Characters>28512</Characters>
  <Application>Microsoft Macintosh Word</Application>
  <DocSecurity>0</DocSecurity>
  <Lines>237</Lines>
  <Paragraphs>66</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33448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175</cp:revision>
  <dcterms:created xsi:type="dcterms:W3CDTF">2019-10-29T03:13:00Z</dcterms:created>
  <dcterms:modified xsi:type="dcterms:W3CDTF">2019-11-17T07:16:00Z</dcterms:modified>
</cp:coreProperties>
</file>