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FB6" w:rsidRDefault="00912FB6">
      <w:pPr>
        <w:spacing w:line="213" w:lineRule="exact"/>
        <w:rPr>
          <w:sz w:val="24"/>
          <w:szCs w:val="24"/>
        </w:rPr>
      </w:pPr>
    </w:p>
    <w:p w:rsidR="00912FB6" w:rsidRDefault="002B3036" w:rsidP="00287092">
      <w:pPr>
        <w:ind w:leftChars="1209" w:left="2660" w:firstLineChars="147" w:firstLine="531"/>
        <w:rPr>
          <w:sz w:val="20"/>
          <w:szCs w:val="20"/>
        </w:rPr>
      </w:pPr>
      <w:r>
        <w:rPr>
          <w:rFonts w:ascii="宋体" w:eastAsia="宋体" w:hAnsi="宋体" w:cs="宋体"/>
          <w:b/>
          <w:bCs/>
          <w:sz w:val="36"/>
          <w:szCs w:val="36"/>
        </w:rPr>
        <w:t>融资计划书</w:t>
      </w:r>
    </w:p>
    <w:p w:rsidR="00912FB6" w:rsidRDefault="00912FB6">
      <w:pPr>
        <w:spacing w:line="200" w:lineRule="exact"/>
        <w:rPr>
          <w:sz w:val="24"/>
          <w:szCs w:val="24"/>
        </w:rPr>
      </w:pPr>
    </w:p>
    <w:p w:rsidR="00912FB6" w:rsidRDefault="00912FB6">
      <w:pPr>
        <w:spacing w:line="347" w:lineRule="exact"/>
        <w:rPr>
          <w:sz w:val="24"/>
          <w:szCs w:val="24"/>
        </w:rPr>
      </w:pPr>
    </w:p>
    <w:p w:rsidR="00912FB6" w:rsidRDefault="002B3036" w:rsidP="0014148E">
      <w:pPr>
        <w:spacing w:line="360" w:lineRule="auto"/>
        <w:ind w:firstLineChars="150" w:firstLine="420"/>
        <w:rPr>
          <w:sz w:val="20"/>
          <w:szCs w:val="20"/>
        </w:rPr>
      </w:pPr>
      <w:bookmarkStart w:id="0" w:name="_GoBack"/>
      <w:r>
        <w:rPr>
          <w:rFonts w:ascii="宋体" w:eastAsia="宋体" w:hAnsi="宋体" w:cs="宋体"/>
          <w:sz w:val="28"/>
          <w:szCs w:val="28"/>
        </w:rPr>
        <w:t>公司拟申请总金额 1.5 亿元贷款，贷款用途为“宏泽园小区”土地拍地和后期项目开发建设，借款期</w:t>
      </w:r>
      <w:r>
        <w:rPr>
          <w:rFonts w:ascii="宋体" w:eastAsia="宋体" w:hAnsi="宋体" w:cs="宋体"/>
          <w:sz w:val="27"/>
          <w:szCs w:val="27"/>
        </w:rPr>
        <w:t>限 1 年，拟用公司股东持有的公司全部股权为</w:t>
      </w:r>
      <w:r>
        <w:rPr>
          <w:rFonts w:ascii="宋体" w:eastAsia="宋体" w:hAnsi="宋体" w:cs="宋体"/>
          <w:sz w:val="28"/>
          <w:szCs w:val="28"/>
        </w:rPr>
        <w:t>融资提供股权质押，待项目获取土地后，补充土地和在建工程抵押；款来源为项目后期开发贷款和后期项目销售收入。情况如下：</w:t>
      </w:r>
    </w:p>
    <w:p w:rsidR="00912FB6" w:rsidRDefault="00912FB6" w:rsidP="00287092">
      <w:pPr>
        <w:spacing w:line="360" w:lineRule="auto"/>
        <w:rPr>
          <w:sz w:val="24"/>
          <w:szCs w:val="24"/>
        </w:rPr>
      </w:pPr>
    </w:p>
    <w:p w:rsidR="00912FB6" w:rsidRDefault="00287092">
      <w:pPr>
        <w:ind w:left="560"/>
        <w:rPr>
          <w:sz w:val="20"/>
          <w:szCs w:val="20"/>
        </w:rPr>
      </w:pPr>
      <w:r>
        <w:rPr>
          <w:rFonts w:ascii="宋体" w:eastAsia="宋体" w:hAnsi="宋体" w:cs="宋体"/>
          <w:b/>
          <w:bCs/>
          <w:sz w:val="28"/>
          <w:szCs w:val="28"/>
        </w:rPr>
        <w:t>一</w:t>
      </w:r>
      <w:r w:rsidR="002B3036">
        <w:rPr>
          <w:rFonts w:ascii="宋体" w:eastAsia="宋体" w:hAnsi="宋体" w:cs="宋体"/>
          <w:b/>
          <w:bCs/>
          <w:sz w:val="28"/>
          <w:szCs w:val="28"/>
        </w:rPr>
        <w:t>、项目情况</w:t>
      </w:r>
    </w:p>
    <w:p w:rsidR="00912FB6" w:rsidRDefault="00912FB6">
      <w:pPr>
        <w:spacing w:line="232" w:lineRule="exact"/>
        <w:rPr>
          <w:sz w:val="20"/>
          <w:szCs w:val="20"/>
        </w:rPr>
      </w:pPr>
    </w:p>
    <w:p w:rsidR="00912FB6" w:rsidRDefault="002B3036" w:rsidP="00F446B5">
      <w:pPr>
        <w:spacing w:line="346" w:lineRule="auto"/>
        <w:ind w:left="560" w:hanging="277"/>
        <w:rPr>
          <w:sz w:val="20"/>
          <w:szCs w:val="20"/>
        </w:rPr>
      </w:pPr>
      <w:r>
        <w:rPr>
          <w:rFonts w:ascii="宋体" w:eastAsia="宋体" w:hAnsi="宋体" w:cs="宋体"/>
          <w:sz w:val="28"/>
          <w:szCs w:val="28"/>
        </w:rPr>
        <w:t>（一）项目位于石家庄市长安区，西邻谈固西街，南邻建明南路，东至谈固南大街，北至建明北路。共占地141亩，实用地112亩，土地分两块，一块为住宅用地91亩，一块为商业用地21亩，均为净地。</w:t>
      </w:r>
    </w:p>
    <w:p w:rsidR="00912FB6" w:rsidRDefault="00912FB6">
      <w:pPr>
        <w:spacing w:line="358" w:lineRule="exact"/>
        <w:rPr>
          <w:sz w:val="20"/>
          <w:szCs w:val="20"/>
        </w:rPr>
      </w:pPr>
    </w:p>
    <w:p w:rsidR="00912FB6" w:rsidRDefault="002B3036">
      <w:pPr>
        <w:spacing w:line="346" w:lineRule="auto"/>
        <w:ind w:left="560" w:right="500" w:hanging="277"/>
        <w:rPr>
          <w:sz w:val="20"/>
          <w:szCs w:val="20"/>
        </w:rPr>
      </w:pPr>
      <w:r>
        <w:rPr>
          <w:rFonts w:ascii="宋体" w:eastAsia="宋体" w:hAnsi="宋体" w:cs="宋体"/>
          <w:sz w:val="28"/>
          <w:szCs w:val="28"/>
        </w:rPr>
        <w:t>（二）周边配套地理位置优越，项目半径 500 米范围内配套设施齐全，其中：</w:t>
      </w:r>
    </w:p>
    <w:p w:rsidR="00912FB6" w:rsidRDefault="00912FB6">
      <w:pPr>
        <w:spacing w:line="80" w:lineRule="exact"/>
        <w:rPr>
          <w:sz w:val="20"/>
          <w:szCs w:val="20"/>
        </w:rPr>
      </w:pPr>
    </w:p>
    <w:p w:rsidR="00912FB6" w:rsidRDefault="002B3036">
      <w:pPr>
        <w:spacing w:line="346" w:lineRule="auto"/>
        <w:ind w:left="560" w:right="4000"/>
        <w:rPr>
          <w:sz w:val="20"/>
          <w:szCs w:val="20"/>
        </w:rPr>
      </w:pPr>
      <w:r>
        <w:rPr>
          <w:rFonts w:ascii="宋体" w:eastAsia="宋体" w:hAnsi="宋体" w:cs="宋体"/>
          <w:sz w:val="28"/>
          <w:szCs w:val="28"/>
        </w:rPr>
        <w:t>（1）商场：东胜广场、万达广场（2）医院：市四院</w:t>
      </w:r>
    </w:p>
    <w:p w:rsidR="00912FB6" w:rsidRDefault="00912FB6">
      <w:pPr>
        <w:spacing w:line="40" w:lineRule="exact"/>
        <w:rPr>
          <w:sz w:val="20"/>
          <w:szCs w:val="20"/>
        </w:rPr>
      </w:pPr>
    </w:p>
    <w:p w:rsidR="00912FB6" w:rsidRDefault="002B3036">
      <w:pPr>
        <w:ind w:left="560"/>
        <w:rPr>
          <w:sz w:val="20"/>
          <w:szCs w:val="20"/>
        </w:rPr>
      </w:pPr>
      <w:r>
        <w:rPr>
          <w:rFonts w:ascii="宋体" w:eastAsia="宋体" w:hAnsi="宋体" w:cs="宋体"/>
          <w:sz w:val="28"/>
          <w:szCs w:val="28"/>
        </w:rPr>
        <w:t>（3）学校：翟营大街小学、谈固小学、建明小学、22 中、27 中</w:t>
      </w:r>
    </w:p>
    <w:p w:rsidR="00912FB6" w:rsidRDefault="00912FB6">
      <w:pPr>
        <w:spacing w:line="220" w:lineRule="exact"/>
        <w:rPr>
          <w:sz w:val="20"/>
          <w:szCs w:val="20"/>
        </w:rPr>
      </w:pPr>
    </w:p>
    <w:p w:rsidR="00287092" w:rsidRDefault="002B3036">
      <w:pPr>
        <w:spacing w:line="346" w:lineRule="auto"/>
        <w:ind w:left="560" w:right="360"/>
        <w:rPr>
          <w:rFonts w:ascii="宋体" w:eastAsia="宋体" w:hAnsi="宋体" w:cs="宋体"/>
          <w:sz w:val="28"/>
          <w:szCs w:val="28"/>
        </w:rPr>
      </w:pPr>
      <w:r>
        <w:rPr>
          <w:rFonts w:ascii="宋体" w:eastAsia="宋体" w:hAnsi="宋体" w:cs="宋体"/>
          <w:sz w:val="28"/>
          <w:szCs w:val="28"/>
        </w:rPr>
        <w:t>（4）超市：北国超市、永辉超市</w:t>
      </w:r>
    </w:p>
    <w:p w:rsidR="00912FB6" w:rsidRDefault="002B3036">
      <w:pPr>
        <w:spacing w:line="346" w:lineRule="auto"/>
        <w:ind w:left="560" w:right="360"/>
        <w:rPr>
          <w:sz w:val="20"/>
          <w:szCs w:val="20"/>
        </w:rPr>
      </w:pPr>
      <w:r>
        <w:rPr>
          <w:rFonts w:ascii="宋体" w:eastAsia="宋体" w:hAnsi="宋体" w:cs="宋体"/>
          <w:sz w:val="28"/>
          <w:szCs w:val="28"/>
        </w:rPr>
        <w:t>（5）银行：工行、建行、交行、浦发、农行、华夏、中信等。</w:t>
      </w:r>
    </w:p>
    <w:p w:rsidR="00912FB6" w:rsidRDefault="00912FB6">
      <w:pPr>
        <w:spacing w:line="78" w:lineRule="exact"/>
        <w:rPr>
          <w:sz w:val="20"/>
          <w:szCs w:val="20"/>
        </w:rPr>
      </w:pPr>
    </w:p>
    <w:p w:rsidR="00912FB6" w:rsidRDefault="002B3036">
      <w:pPr>
        <w:spacing w:line="348" w:lineRule="auto"/>
        <w:ind w:left="420" w:right="2880" w:firstLine="139"/>
        <w:rPr>
          <w:sz w:val="20"/>
          <w:szCs w:val="20"/>
        </w:rPr>
      </w:pPr>
      <w:r>
        <w:rPr>
          <w:rFonts w:ascii="宋体" w:eastAsia="宋体" w:hAnsi="宋体" w:cs="宋体"/>
          <w:sz w:val="28"/>
          <w:szCs w:val="28"/>
        </w:rPr>
        <w:t xml:space="preserve">（6）交通：地铁 1 </w:t>
      </w:r>
      <w:r w:rsidR="002C4E05">
        <w:rPr>
          <w:rFonts w:ascii="宋体" w:eastAsia="宋体" w:hAnsi="宋体" w:cs="宋体"/>
          <w:sz w:val="28"/>
          <w:szCs w:val="28"/>
        </w:rPr>
        <w:t>号线、谈固公交枢</w:t>
      </w:r>
      <w:r>
        <w:rPr>
          <w:rFonts w:ascii="宋体" w:eastAsia="宋体" w:hAnsi="宋体" w:cs="宋体"/>
          <w:sz w:val="28"/>
          <w:szCs w:val="28"/>
        </w:rPr>
        <w:t>站（三）项目运行保障</w:t>
      </w:r>
    </w:p>
    <w:p w:rsidR="00912FB6" w:rsidRDefault="00912FB6">
      <w:pPr>
        <w:spacing w:line="75" w:lineRule="exact"/>
        <w:rPr>
          <w:sz w:val="20"/>
          <w:szCs w:val="20"/>
        </w:rPr>
      </w:pPr>
    </w:p>
    <w:p w:rsidR="00912FB6" w:rsidRDefault="002B3036">
      <w:pPr>
        <w:spacing w:line="361" w:lineRule="auto"/>
        <w:ind w:firstLine="559"/>
        <w:jc w:val="both"/>
        <w:rPr>
          <w:sz w:val="20"/>
          <w:szCs w:val="20"/>
        </w:rPr>
      </w:pPr>
      <w:r>
        <w:rPr>
          <w:rFonts w:ascii="宋体" w:eastAsia="宋体" w:hAnsi="宋体" w:cs="宋体"/>
          <w:sz w:val="28"/>
          <w:szCs w:val="28"/>
        </w:rPr>
        <w:t>目前该项目已经列入“河北省重点项目”和“石家庄市房地产专项整治解遗项目”，项目施工期间享受“地铁施工政策”，二级以下空气预警不停工。</w:t>
      </w:r>
    </w:p>
    <w:p w:rsidR="00912FB6" w:rsidRDefault="00912FB6">
      <w:pPr>
        <w:spacing w:line="302" w:lineRule="exact"/>
        <w:rPr>
          <w:sz w:val="20"/>
          <w:szCs w:val="20"/>
        </w:rPr>
      </w:pPr>
    </w:p>
    <w:p w:rsidR="00912FB6" w:rsidRDefault="002B3036">
      <w:pPr>
        <w:ind w:left="560"/>
        <w:rPr>
          <w:sz w:val="20"/>
          <w:szCs w:val="20"/>
        </w:rPr>
      </w:pPr>
      <w:r>
        <w:rPr>
          <w:rFonts w:ascii="宋体" w:eastAsia="宋体" w:hAnsi="宋体" w:cs="宋体"/>
          <w:sz w:val="28"/>
          <w:szCs w:val="28"/>
        </w:rPr>
        <w:t>（四）项目主要经济指标</w:t>
      </w:r>
    </w:p>
    <w:p w:rsidR="00912FB6" w:rsidRDefault="00912FB6">
      <w:pPr>
        <w:spacing w:line="218" w:lineRule="exact"/>
        <w:rPr>
          <w:sz w:val="20"/>
          <w:szCs w:val="20"/>
        </w:rPr>
      </w:pPr>
    </w:p>
    <w:p w:rsidR="0014148E" w:rsidRDefault="002B3036" w:rsidP="00287092">
      <w:pPr>
        <w:spacing w:line="360" w:lineRule="auto"/>
        <w:ind w:firstLineChars="150" w:firstLine="420"/>
        <w:rPr>
          <w:rFonts w:ascii="宋体" w:eastAsia="宋体" w:hAnsi="宋体" w:cs="宋体"/>
          <w:sz w:val="28"/>
          <w:szCs w:val="28"/>
        </w:rPr>
      </w:pPr>
      <w:r w:rsidRPr="00287092">
        <w:rPr>
          <w:rFonts w:ascii="宋体" w:eastAsia="宋体" w:hAnsi="宋体" w:cs="宋体"/>
          <w:sz w:val="28"/>
          <w:szCs w:val="28"/>
        </w:rPr>
        <w:lastRenderedPageBreak/>
        <w:t>项目总占地面积：94000 平方米，住宅容积率 3.5，绿化率 35%，商业容积率 6.0，车库 1:1，项目共建设 9 栋住宅和 4 栋写字楼、公寓及相关辅助工程，总建设面积 5</w:t>
      </w:r>
      <w:r w:rsidRPr="00287092">
        <w:rPr>
          <w:rFonts w:ascii="宋体" w:eastAsia="宋体" w:hAnsi="宋体" w:cs="宋体" w:hint="eastAsia"/>
          <w:sz w:val="28"/>
          <w:szCs w:val="28"/>
        </w:rPr>
        <w:t>09415</w:t>
      </w:r>
      <w:r w:rsidRPr="00287092">
        <w:rPr>
          <w:rFonts w:ascii="宋体" w:eastAsia="宋体" w:hAnsi="宋体" w:cs="宋体"/>
          <w:sz w:val="28"/>
          <w:szCs w:val="28"/>
        </w:rPr>
        <w:t xml:space="preserve"> 平方米，高层住宅楼建筑面积（地上建筑面积，地下建筑面积）</w:t>
      </w:r>
      <w:r w:rsidRPr="00287092">
        <w:rPr>
          <w:rFonts w:ascii="宋体" w:eastAsia="宋体" w:hAnsi="宋体" w:cs="宋体" w:hint="eastAsia"/>
          <w:sz w:val="28"/>
          <w:szCs w:val="28"/>
        </w:rPr>
        <w:t>286284</w:t>
      </w:r>
      <w:r w:rsidRPr="00287092">
        <w:rPr>
          <w:rFonts w:ascii="宋体" w:eastAsia="宋体" w:hAnsi="宋体" w:cs="宋体"/>
          <w:sz w:val="28"/>
          <w:szCs w:val="28"/>
        </w:rPr>
        <w:t xml:space="preserve"> 平方米，沿街商业建筑面积 </w:t>
      </w:r>
      <w:r w:rsidRPr="00287092">
        <w:rPr>
          <w:rFonts w:ascii="宋体" w:eastAsia="宋体" w:hAnsi="宋体" w:cs="宋体" w:hint="eastAsia"/>
          <w:sz w:val="28"/>
          <w:szCs w:val="28"/>
        </w:rPr>
        <w:t>18449</w:t>
      </w:r>
      <w:r>
        <w:rPr>
          <w:rFonts w:ascii="宋体" w:eastAsia="宋体" w:hAnsi="宋体" w:cs="宋体"/>
          <w:sz w:val="28"/>
          <w:szCs w:val="28"/>
        </w:rPr>
        <w:t>平方米，地下车库建筑面积 130824 平方米，</w:t>
      </w:r>
      <w:r w:rsidR="0014148E" w:rsidRPr="0014148E">
        <w:rPr>
          <w:rFonts w:ascii="宋体" w:eastAsia="宋体" w:hAnsi="宋体" w:cs="宋体"/>
          <w:sz w:val="28"/>
          <w:szCs w:val="28"/>
        </w:rPr>
        <w:t>写字楼、公寓 74858 平方米，</w:t>
      </w:r>
      <w:r>
        <w:rPr>
          <w:rFonts w:ascii="宋体" w:eastAsia="宋体" w:hAnsi="宋体" w:cs="宋体"/>
          <w:sz w:val="28"/>
          <w:szCs w:val="28"/>
        </w:rPr>
        <w:t>幼儿园 2800 平方米。</w:t>
      </w:r>
    </w:p>
    <w:p w:rsidR="00287092" w:rsidRPr="0014148E" w:rsidRDefault="00287092" w:rsidP="00287092">
      <w:pPr>
        <w:spacing w:line="360" w:lineRule="auto"/>
        <w:ind w:firstLineChars="150" w:firstLine="420"/>
        <w:rPr>
          <w:rFonts w:ascii="宋体" w:eastAsia="宋体" w:hAnsi="宋体" w:cs="宋体"/>
          <w:sz w:val="28"/>
          <w:szCs w:val="28"/>
        </w:rPr>
      </w:pPr>
      <w:r w:rsidRPr="0014148E">
        <w:rPr>
          <w:rFonts w:ascii="宋体" w:eastAsia="宋体" w:hAnsi="宋体" w:cs="宋体"/>
          <w:sz w:val="28"/>
          <w:szCs w:val="28"/>
        </w:rPr>
        <w:t>预计可实现收入约 44 亿元。</w:t>
      </w:r>
    </w:p>
    <w:p w:rsidR="00912FB6" w:rsidRDefault="00912FB6">
      <w:pPr>
        <w:spacing w:line="200" w:lineRule="exact"/>
        <w:rPr>
          <w:sz w:val="20"/>
          <w:szCs w:val="20"/>
        </w:rPr>
      </w:pPr>
    </w:p>
    <w:p w:rsidR="00912FB6" w:rsidRDefault="00912FB6">
      <w:pPr>
        <w:spacing w:line="204" w:lineRule="exact"/>
        <w:rPr>
          <w:sz w:val="20"/>
          <w:szCs w:val="20"/>
        </w:rPr>
      </w:pPr>
      <w:bookmarkStart w:id="1" w:name="page3"/>
      <w:bookmarkEnd w:id="1"/>
    </w:p>
    <w:tbl>
      <w:tblPr>
        <w:tblW w:w="0" w:type="auto"/>
        <w:tblLayout w:type="fixed"/>
        <w:tblCellMar>
          <w:left w:w="0" w:type="dxa"/>
          <w:right w:w="0" w:type="dxa"/>
        </w:tblCellMar>
        <w:tblLook w:val="04A0" w:firstRow="1" w:lastRow="0" w:firstColumn="1" w:lastColumn="0" w:noHBand="0" w:noVBand="1"/>
      </w:tblPr>
      <w:tblGrid>
        <w:gridCol w:w="1480"/>
        <w:gridCol w:w="2160"/>
        <w:gridCol w:w="880"/>
        <w:gridCol w:w="1880"/>
        <w:gridCol w:w="1380"/>
      </w:tblGrid>
      <w:tr w:rsidR="00912FB6">
        <w:trPr>
          <w:trHeight w:val="319"/>
        </w:trPr>
        <w:tc>
          <w:tcPr>
            <w:tcW w:w="4520" w:type="dxa"/>
            <w:gridSpan w:val="3"/>
            <w:vAlign w:val="bottom"/>
          </w:tcPr>
          <w:p w:rsidR="00912FB6" w:rsidRDefault="002B3036">
            <w:pPr>
              <w:rPr>
                <w:sz w:val="20"/>
                <w:szCs w:val="20"/>
              </w:rPr>
            </w:pPr>
            <w:r>
              <w:rPr>
                <w:rFonts w:ascii="宋体" w:eastAsia="宋体" w:hAnsi="宋体" w:cs="宋体"/>
                <w:sz w:val="28"/>
                <w:szCs w:val="28"/>
              </w:rPr>
              <w:t>（五）周边同类项目销售情况如下：</w:t>
            </w:r>
          </w:p>
        </w:tc>
        <w:tc>
          <w:tcPr>
            <w:tcW w:w="1880" w:type="dxa"/>
            <w:vAlign w:val="bottom"/>
          </w:tcPr>
          <w:p w:rsidR="00912FB6" w:rsidRDefault="00912FB6">
            <w:pPr>
              <w:rPr>
                <w:sz w:val="24"/>
                <w:szCs w:val="24"/>
              </w:rPr>
            </w:pPr>
          </w:p>
        </w:tc>
        <w:tc>
          <w:tcPr>
            <w:tcW w:w="1380" w:type="dxa"/>
            <w:vAlign w:val="bottom"/>
          </w:tcPr>
          <w:p w:rsidR="00912FB6" w:rsidRDefault="00912FB6">
            <w:pPr>
              <w:rPr>
                <w:sz w:val="24"/>
                <w:szCs w:val="24"/>
              </w:rPr>
            </w:pPr>
          </w:p>
        </w:tc>
      </w:tr>
      <w:tr w:rsidR="00912FB6">
        <w:trPr>
          <w:trHeight w:val="624"/>
        </w:trPr>
        <w:tc>
          <w:tcPr>
            <w:tcW w:w="1480" w:type="dxa"/>
            <w:vAlign w:val="bottom"/>
          </w:tcPr>
          <w:p w:rsidR="00912FB6" w:rsidRDefault="002B3036">
            <w:pPr>
              <w:rPr>
                <w:sz w:val="20"/>
                <w:szCs w:val="20"/>
              </w:rPr>
            </w:pPr>
            <w:r>
              <w:rPr>
                <w:rFonts w:ascii="宋体" w:eastAsia="宋体" w:hAnsi="宋体" w:cs="宋体"/>
                <w:sz w:val="28"/>
                <w:szCs w:val="28"/>
              </w:rPr>
              <w:t>项目名称</w:t>
            </w:r>
          </w:p>
        </w:tc>
        <w:tc>
          <w:tcPr>
            <w:tcW w:w="2160" w:type="dxa"/>
            <w:vAlign w:val="bottom"/>
          </w:tcPr>
          <w:p w:rsidR="00912FB6" w:rsidRDefault="002B3036">
            <w:pPr>
              <w:ind w:left="340"/>
              <w:rPr>
                <w:sz w:val="20"/>
                <w:szCs w:val="20"/>
              </w:rPr>
            </w:pPr>
            <w:r>
              <w:rPr>
                <w:rFonts w:ascii="宋体" w:eastAsia="宋体" w:hAnsi="宋体" w:cs="宋体"/>
                <w:sz w:val="28"/>
                <w:szCs w:val="28"/>
              </w:rPr>
              <w:t>产品</w:t>
            </w:r>
          </w:p>
        </w:tc>
        <w:tc>
          <w:tcPr>
            <w:tcW w:w="2760" w:type="dxa"/>
            <w:gridSpan w:val="2"/>
            <w:vAlign w:val="bottom"/>
          </w:tcPr>
          <w:p w:rsidR="00912FB6" w:rsidRDefault="002B3036">
            <w:pPr>
              <w:ind w:left="420"/>
              <w:rPr>
                <w:sz w:val="20"/>
                <w:szCs w:val="20"/>
              </w:rPr>
            </w:pPr>
            <w:r>
              <w:rPr>
                <w:rFonts w:ascii="宋体" w:eastAsia="宋体" w:hAnsi="宋体" w:cs="宋体"/>
                <w:sz w:val="28"/>
                <w:szCs w:val="28"/>
              </w:rPr>
              <w:t>单价</w:t>
            </w:r>
          </w:p>
        </w:tc>
        <w:tc>
          <w:tcPr>
            <w:tcW w:w="1380" w:type="dxa"/>
            <w:vAlign w:val="bottom"/>
          </w:tcPr>
          <w:p w:rsidR="00912FB6" w:rsidRDefault="002B3036">
            <w:pPr>
              <w:ind w:right="80"/>
              <w:jc w:val="right"/>
              <w:rPr>
                <w:sz w:val="20"/>
                <w:szCs w:val="20"/>
              </w:rPr>
            </w:pPr>
            <w:r>
              <w:rPr>
                <w:rFonts w:ascii="宋体" w:eastAsia="宋体" w:hAnsi="宋体" w:cs="宋体"/>
                <w:sz w:val="28"/>
                <w:szCs w:val="28"/>
              </w:rPr>
              <w:t>消化率</w:t>
            </w:r>
          </w:p>
        </w:tc>
      </w:tr>
      <w:tr w:rsidR="00912FB6">
        <w:trPr>
          <w:trHeight w:val="624"/>
        </w:trPr>
        <w:tc>
          <w:tcPr>
            <w:tcW w:w="1480" w:type="dxa"/>
            <w:vAlign w:val="bottom"/>
          </w:tcPr>
          <w:p w:rsidR="00912FB6" w:rsidRDefault="002B3036">
            <w:pPr>
              <w:rPr>
                <w:sz w:val="20"/>
                <w:szCs w:val="20"/>
              </w:rPr>
            </w:pPr>
            <w:r>
              <w:rPr>
                <w:rFonts w:ascii="宋体" w:eastAsia="宋体" w:hAnsi="宋体" w:cs="宋体"/>
                <w:sz w:val="28"/>
                <w:szCs w:val="28"/>
              </w:rPr>
              <w:t>国瑞城</w:t>
            </w:r>
          </w:p>
        </w:tc>
        <w:tc>
          <w:tcPr>
            <w:tcW w:w="2160" w:type="dxa"/>
            <w:vAlign w:val="bottom"/>
          </w:tcPr>
          <w:p w:rsidR="00912FB6" w:rsidRDefault="002B3036">
            <w:pPr>
              <w:ind w:left="340"/>
              <w:rPr>
                <w:sz w:val="20"/>
                <w:szCs w:val="20"/>
              </w:rPr>
            </w:pPr>
            <w:r>
              <w:rPr>
                <w:rFonts w:ascii="宋体" w:eastAsia="宋体" w:hAnsi="宋体" w:cs="宋体"/>
                <w:sz w:val="28"/>
                <w:szCs w:val="28"/>
              </w:rPr>
              <w:t>高层</w:t>
            </w:r>
          </w:p>
        </w:tc>
        <w:tc>
          <w:tcPr>
            <w:tcW w:w="880" w:type="dxa"/>
            <w:vAlign w:val="bottom"/>
          </w:tcPr>
          <w:p w:rsidR="00912FB6" w:rsidRDefault="002B3036">
            <w:pPr>
              <w:jc w:val="right"/>
              <w:rPr>
                <w:sz w:val="20"/>
                <w:szCs w:val="20"/>
              </w:rPr>
            </w:pPr>
            <w:r>
              <w:rPr>
                <w:rFonts w:ascii="宋体" w:eastAsia="宋体" w:hAnsi="宋体" w:cs="宋体"/>
                <w:sz w:val="28"/>
                <w:szCs w:val="28"/>
              </w:rPr>
              <w:t>20000</w:t>
            </w:r>
          </w:p>
        </w:tc>
        <w:tc>
          <w:tcPr>
            <w:tcW w:w="1880" w:type="dxa"/>
            <w:vAlign w:val="bottom"/>
          </w:tcPr>
          <w:p w:rsidR="00912FB6" w:rsidRDefault="002B3036">
            <w:pPr>
              <w:ind w:left="40"/>
              <w:rPr>
                <w:sz w:val="20"/>
                <w:szCs w:val="20"/>
              </w:rPr>
            </w:pPr>
            <w:r>
              <w:rPr>
                <w:rFonts w:ascii="宋体" w:eastAsia="宋体" w:hAnsi="宋体" w:cs="宋体"/>
                <w:sz w:val="28"/>
                <w:szCs w:val="28"/>
              </w:rPr>
              <w:t>元/平方米</w:t>
            </w:r>
          </w:p>
        </w:tc>
        <w:tc>
          <w:tcPr>
            <w:tcW w:w="1380" w:type="dxa"/>
            <w:vAlign w:val="bottom"/>
          </w:tcPr>
          <w:p w:rsidR="00912FB6" w:rsidRDefault="002B3036">
            <w:pPr>
              <w:jc w:val="right"/>
              <w:rPr>
                <w:sz w:val="20"/>
                <w:szCs w:val="20"/>
              </w:rPr>
            </w:pPr>
            <w:r>
              <w:rPr>
                <w:rFonts w:ascii="宋体" w:eastAsia="宋体" w:hAnsi="宋体" w:cs="宋体"/>
                <w:sz w:val="28"/>
                <w:szCs w:val="28"/>
              </w:rPr>
              <w:t>100%</w:t>
            </w:r>
          </w:p>
        </w:tc>
      </w:tr>
      <w:tr w:rsidR="00912FB6">
        <w:trPr>
          <w:trHeight w:val="624"/>
        </w:trPr>
        <w:tc>
          <w:tcPr>
            <w:tcW w:w="1480" w:type="dxa"/>
            <w:vAlign w:val="bottom"/>
          </w:tcPr>
          <w:p w:rsidR="00912FB6" w:rsidRDefault="002B3036">
            <w:pPr>
              <w:rPr>
                <w:sz w:val="20"/>
                <w:szCs w:val="20"/>
              </w:rPr>
            </w:pPr>
            <w:r>
              <w:rPr>
                <w:rFonts w:ascii="宋体" w:eastAsia="宋体" w:hAnsi="宋体" w:cs="宋体"/>
                <w:sz w:val="28"/>
                <w:szCs w:val="28"/>
              </w:rPr>
              <w:t>嘉和广场</w:t>
            </w:r>
          </w:p>
        </w:tc>
        <w:tc>
          <w:tcPr>
            <w:tcW w:w="2160" w:type="dxa"/>
            <w:vAlign w:val="bottom"/>
          </w:tcPr>
          <w:p w:rsidR="00912FB6" w:rsidRDefault="002B3036">
            <w:pPr>
              <w:ind w:left="340"/>
              <w:rPr>
                <w:sz w:val="20"/>
                <w:szCs w:val="20"/>
              </w:rPr>
            </w:pPr>
            <w:r>
              <w:rPr>
                <w:rFonts w:ascii="宋体" w:eastAsia="宋体" w:hAnsi="宋体" w:cs="宋体"/>
                <w:sz w:val="28"/>
                <w:szCs w:val="28"/>
              </w:rPr>
              <w:t>高层</w:t>
            </w:r>
          </w:p>
        </w:tc>
        <w:tc>
          <w:tcPr>
            <w:tcW w:w="880" w:type="dxa"/>
            <w:vAlign w:val="bottom"/>
          </w:tcPr>
          <w:p w:rsidR="00912FB6" w:rsidRDefault="002B3036">
            <w:pPr>
              <w:jc w:val="right"/>
              <w:rPr>
                <w:sz w:val="20"/>
                <w:szCs w:val="20"/>
              </w:rPr>
            </w:pPr>
            <w:r>
              <w:rPr>
                <w:rFonts w:ascii="宋体" w:eastAsia="宋体" w:hAnsi="宋体" w:cs="宋体"/>
                <w:sz w:val="28"/>
                <w:szCs w:val="28"/>
              </w:rPr>
              <w:t>20000</w:t>
            </w:r>
          </w:p>
        </w:tc>
        <w:tc>
          <w:tcPr>
            <w:tcW w:w="1880" w:type="dxa"/>
            <w:vAlign w:val="bottom"/>
          </w:tcPr>
          <w:p w:rsidR="00912FB6" w:rsidRDefault="002B3036">
            <w:pPr>
              <w:ind w:left="40"/>
              <w:rPr>
                <w:sz w:val="20"/>
                <w:szCs w:val="20"/>
              </w:rPr>
            </w:pPr>
            <w:r>
              <w:rPr>
                <w:rFonts w:ascii="宋体" w:eastAsia="宋体" w:hAnsi="宋体" w:cs="宋体"/>
                <w:sz w:val="28"/>
                <w:szCs w:val="28"/>
              </w:rPr>
              <w:t>元/平方米</w:t>
            </w:r>
          </w:p>
        </w:tc>
        <w:tc>
          <w:tcPr>
            <w:tcW w:w="1380" w:type="dxa"/>
            <w:vAlign w:val="bottom"/>
          </w:tcPr>
          <w:p w:rsidR="00912FB6" w:rsidRDefault="002B3036">
            <w:pPr>
              <w:jc w:val="right"/>
              <w:rPr>
                <w:sz w:val="20"/>
                <w:szCs w:val="20"/>
              </w:rPr>
            </w:pPr>
            <w:r>
              <w:rPr>
                <w:rFonts w:ascii="宋体" w:eastAsia="宋体" w:hAnsi="宋体" w:cs="宋体"/>
                <w:sz w:val="28"/>
                <w:szCs w:val="28"/>
              </w:rPr>
              <w:t>100%</w:t>
            </w:r>
          </w:p>
        </w:tc>
      </w:tr>
      <w:tr w:rsidR="00912FB6">
        <w:trPr>
          <w:trHeight w:val="624"/>
        </w:trPr>
        <w:tc>
          <w:tcPr>
            <w:tcW w:w="1480" w:type="dxa"/>
            <w:vAlign w:val="bottom"/>
          </w:tcPr>
          <w:p w:rsidR="00912FB6" w:rsidRDefault="002B3036">
            <w:pPr>
              <w:rPr>
                <w:sz w:val="20"/>
                <w:szCs w:val="20"/>
              </w:rPr>
            </w:pPr>
            <w:r>
              <w:rPr>
                <w:rFonts w:ascii="宋体" w:eastAsia="宋体" w:hAnsi="宋体" w:cs="宋体"/>
                <w:sz w:val="28"/>
                <w:szCs w:val="28"/>
              </w:rPr>
              <w:t>荣国花园</w:t>
            </w:r>
          </w:p>
        </w:tc>
        <w:tc>
          <w:tcPr>
            <w:tcW w:w="2160" w:type="dxa"/>
            <w:vAlign w:val="bottom"/>
          </w:tcPr>
          <w:p w:rsidR="00912FB6" w:rsidRDefault="002B3036">
            <w:pPr>
              <w:ind w:left="340"/>
              <w:rPr>
                <w:sz w:val="20"/>
                <w:szCs w:val="20"/>
              </w:rPr>
            </w:pPr>
            <w:r>
              <w:rPr>
                <w:rFonts w:ascii="宋体" w:eastAsia="宋体" w:hAnsi="宋体" w:cs="宋体"/>
                <w:sz w:val="28"/>
                <w:szCs w:val="28"/>
              </w:rPr>
              <w:t>多层、小高层</w:t>
            </w:r>
          </w:p>
        </w:tc>
        <w:tc>
          <w:tcPr>
            <w:tcW w:w="2760" w:type="dxa"/>
            <w:gridSpan w:val="2"/>
            <w:vAlign w:val="bottom"/>
          </w:tcPr>
          <w:p w:rsidR="00912FB6" w:rsidRDefault="002B3036">
            <w:pPr>
              <w:ind w:left="420"/>
              <w:rPr>
                <w:sz w:val="20"/>
                <w:szCs w:val="20"/>
              </w:rPr>
            </w:pPr>
            <w:r>
              <w:rPr>
                <w:rFonts w:ascii="宋体" w:eastAsia="宋体" w:hAnsi="宋体" w:cs="宋体"/>
                <w:sz w:val="28"/>
                <w:szCs w:val="28"/>
              </w:rPr>
              <w:t>22000 元/平方米</w:t>
            </w:r>
          </w:p>
        </w:tc>
        <w:tc>
          <w:tcPr>
            <w:tcW w:w="1380" w:type="dxa"/>
            <w:vAlign w:val="bottom"/>
          </w:tcPr>
          <w:p w:rsidR="00912FB6" w:rsidRDefault="002B3036">
            <w:pPr>
              <w:jc w:val="right"/>
              <w:rPr>
                <w:sz w:val="20"/>
                <w:szCs w:val="20"/>
              </w:rPr>
            </w:pPr>
            <w:r>
              <w:rPr>
                <w:rFonts w:ascii="宋体" w:eastAsia="宋体" w:hAnsi="宋体" w:cs="宋体"/>
                <w:sz w:val="28"/>
                <w:szCs w:val="28"/>
              </w:rPr>
              <w:t>100%</w:t>
            </w:r>
          </w:p>
        </w:tc>
      </w:tr>
    </w:tbl>
    <w:p w:rsidR="00912FB6" w:rsidRDefault="00912FB6">
      <w:pPr>
        <w:spacing w:line="305" w:lineRule="exact"/>
        <w:rPr>
          <w:sz w:val="20"/>
          <w:szCs w:val="20"/>
        </w:rPr>
      </w:pPr>
    </w:p>
    <w:p w:rsidR="00912FB6" w:rsidRDefault="002B3036">
      <w:pPr>
        <w:rPr>
          <w:sz w:val="20"/>
          <w:szCs w:val="20"/>
        </w:rPr>
      </w:pPr>
      <w:r>
        <w:rPr>
          <w:rFonts w:ascii="宋体" w:eastAsia="宋体" w:hAnsi="宋体" w:cs="宋体"/>
          <w:sz w:val="28"/>
          <w:szCs w:val="28"/>
        </w:rPr>
        <w:t>（六）手续办理情况：</w:t>
      </w:r>
    </w:p>
    <w:p w:rsidR="00912FB6" w:rsidRDefault="00912FB6">
      <w:pPr>
        <w:spacing w:line="305" w:lineRule="exact"/>
        <w:rPr>
          <w:sz w:val="20"/>
          <w:szCs w:val="20"/>
        </w:rPr>
      </w:pPr>
    </w:p>
    <w:p w:rsidR="00912FB6" w:rsidRDefault="002B3036">
      <w:pPr>
        <w:rPr>
          <w:sz w:val="20"/>
          <w:szCs w:val="20"/>
        </w:rPr>
      </w:pPr>
      <w:r>
        <w:rPr>
          <w:rFonts w:ascii="宋体" w:eastAsia="宋体" w:hAnsi="宋体" w:cs="宋体"/>
          <w:sz w:val="28"/>
          <w:szCs w:val="28"/>
        </w:rPr>
        <w:t>1、2011 年 7 月份取得了《石家庄市城市危陋住宅区评定报告书》</w:t>
      </w:r>
    </w:p>
    <w:p w:rsidR="00912FB6" w:rsidRDefault="00912FB6">
      <w:pPr>
        <w:spacing w:line="343" w:lineRule="exact"/>
        <w:rPr>
          <w:sz w:val="20"/>
          <w:szCs w:val="20"/>
        </w:rPr>
      </w:pPr>
    </w:p>
    <w:p w:rsidR="00912FB6" w:rsidRDefault="002B3036">
      <w:pPr>
        <w:spacing w:line="454" w:lineRule="auto"/>
        <w:jc w:val="both"/>
        <w:rPr>
          <w:sz w:val="20"/>
          <w:szCs w:val="20"/>
        </w:rPr>
      </w:pPr>
      <w:r>
        <w:rPr>
          <w:rFonts w:ascii="宋体" w:eastAsia="宋体" w:hAnsi="宋体" w:cs="宋体"/>
          <w:sz w:val="28"/>
          <w:szCs w:val="28"/>
        </w:rPr>
        <w:t>2、2011 年 11 月份取得了《石家庄市发展和改革委员会关于谈固小区第二社区北区旧城区改建项目符合本市国民经济和社会发展年度计划的证明》</w:t>
      </w:r>
    </w:p>
    <w:p w:rsidR="00912FB6" w:rsidRDefault="00912FB6">
      <w:pPr>
        <w:spacing w:line="60" w:lineRule="exact"/>
        <w:rPr>
          <w:sz w:val="20"/>
          <w:szCs w:val="20"/>
        </w:rPr>
      </w:pPr>
    </w:p>
    <w:p w:rsidR="00912FB6" w:rsidRDefault="002B3036">
      <w:pPr>
        <w:spacing w:line="414" w:lineRule="auto"/>
        <w:jc w:val="both"/>
        <w:rPr>
          <w:sz w:val="20"/>
          <w:szCs w:val="20"/>
        </w:rPr>
      </w:pPr>
      <w:r>
        <w:rPr>
          <w:rFonts w:ascii="宋体" w:eastAsia="宋体" w:hAnsi="宋体" w:cs="宋体"/>
          <w:sz w:val="28"/>
          <w:szCs w:val="28"/>
        </w:rPr>
        <w:t>3、2011 年 11 月份取得了《石家庄市国土资源局关于谈固小区第二社区北区项目用地符合土地利用总体规划的证明》</w:t>
      </w:r>
    </w:p>
    <w:p w:rsidR="00912FB6" w:rsidRDefault="00912FB6">
      <w:pPr>
        <w:spacing w:line="1" w:lineRule="exact"/>
        <w:rPr>
          <w:sz w:val="20"/>
          <w:szCs w:val="20"/>
        </w:rPr>
      </w:pPr>
    </w:p>
    <w:p w:rsidR="00912FB6" w:rsidRDefault="002B3036">
      <w:pPr>
        <w:rPr>
          <w:sz w:val="20"/>
          <w:szCs w:val="20"/>
        </w:rPr>
      </w:pPr>
      <w:bookmarkStart w:id="2" w:name="page4"/>
      <w:bookmarkEnd w:id="2"/>
      <w:r>
        <w:rPr>
          <w:rFonts w:ascii="宋体" w:eastAsia="宋体" w:hAnsi="宋体" w:cs="宋体"/>
          <w:sz w:val="28"/>
          <w:szCs w:val="28"/>
        </w:rPr>
        <w:t>4、2014 年 12 月取得了《国有土地上房屋征收决定》</w:t>
      </w:r>
    </w:p>
    <w:p w:rsidR="00912FB6" w:rsidRDefault="00912FB6">
      <w:pPr>
        <w:spacing w:line="221" w:lineRule="exact"/>
        <w:rPr>
          <w:sz w:val="20"/>
          <w:szCs w:val="20"/>
        </w:rPr>
      </w:pPr>
    </w:p>
    <w:p w:rsidR="00912FB6" w:rsidRDefault="002B3036">
      <w:pPr>
        <w:rPr>
          <w:sz w:val="20"/>
          <w:szCs w:val="20"/>
        </w:rPr>
      </w:pPr>
      <w:r>
        <w:rPr>
          <w:rFonts w:ascii="宋体" w:eastAsia="宋体" w:hAnsi="宋体" w:cs="宋体"/>
          <w:sz w:val="28"/>
          <w:szCs w:val="28"/>
        </w:rPr>
        <w:t>5、2016 年 4 月 1 日取得了《清场验收合格单》</w:t>
      </w:r>
    </w:p>
    <w:p w:rsidR="00912FB6" w:rsidRDefault="00912FB6">
      <w:pPr>
        <w:spacing w:line="221" w:lineRule="exact"/>
        <w:rPr>
          <w:sz w:val="20"/>
          <w:szCs w:val="20"/>
        </w:rPr>
      </w:pPr>
    </w:p>
    <w:p w:rsidR="00912FB6" w:rsidRDefault="002B3036">
      <w:pPr>
        <w:rPr>
          <w:sz w:val="20"/>
          <w:szCs w:val="20"/>
        </w:rPr>
      </w:pPr>
      <w:r>
        <w:rPr>
          <w:rFonts w:ascii="宋体" w:eastAsia="宋体" w:hAnsi="宋体" w:cs="宋体"/>
          <w:sz w:val="28"/>
          <w:szCs w:val="28"/>
        </w:rPr>
        <w:t>6、2016 年 5 月 17 日取得了《产权调换房屋建筑面积认定证明》</w:t>
      </w:r>
    </w:p>
    <w:p w:rsidR="00912FB6" w:rsidRDefault="00912FB6">
      <w:pPr>
        <w:spacing w:line="259" w:lineRule="exact"/>
        <w:rPr>
          <w:sz w:val="20"/>
          <w:szCs w:val="20"/>
        </w:rPr>
      </w:pPr>
    </w:p>
    <w:p w:rsidR="00912FB6" w:rsidRDefault="002B3036">
      <w:pPr>
        <w:spacing w:line="377" w:lineRule="auto"/>
        <w:rPr>
          <w:sz w:val="20"/>
          <w:szCs w:val="20"/>
        </w:rPr>
      </w:pPr>
      <w:r>
        <w:rPr>
          <w:rFonts w:ascii="宋体" w:eastAsia="宋体" w:hAnsi="宋体" w:cs="宋体"/>
          <w:sz w:val="28"/>
          <w:szCs w:val="28"/>
        </w:rPr>
        <w:lastRenderedPageBreak/>
        <w:t>7、石家庄市政府于 2017 年 7 月 16 日出具了规划条件指定住宅部分容积率 3.5，商业部分容积率为 6.0，根据条件出具了总平图。</w:t>
      </w:r>
    </w:p>
    <w:p w:rsidR="00912FB6" w:rsidRDefault="00912FB6">
      <w:pPr>
        <w:spacing w:line="77" w:lineRule="exact"/>
        <w:rPr>
          <w:sz w:val="20"/>
          <w:szCs w:val="20"/>
        </w:rPr>
      </w:pPr>
    </w:p>
    <w:p w:rsidR="00912FB6" w:rsidRDefault="002B3036">
      <w:pPr>
        <w:spacing w:line="377" w:lineRule="auto"/>
        <w:rPr>
          <w:sz w:val="20"/>
          <w:szCs w:val="20"/>
        </w:rPr>
      </w:pPr>
      <w:r>
        <w:rPr>
          <w:rFonts w:ascii="宋体" w:eastAsia="宋体" w:hAnsi="宋体" w:cs="宋体"/>
          <w:sz w:val="28"/>
          <w:szCs w:val="28"/>
        </w:rPr>
        <w:t>8、市政府要求本项目缴纳开工保证金 1.365 亿，已全部缴纳完毕。</w:t>
      </w:r>
    </w:p>
    <w:p w:rsidR="00912FB6" w:rsidRDefault="00912FB6">
      <w:pPr>
        <w:spacing w:line="77" w:lineRule="exact"/>
        <w:rPr>
          <w:sz w:val="20"/>
          <w:szCs w:val="20"/>
        </w:rPr>
      </w:pPr>
    </w:p>
    <w:p w:rsidR="00912FB6" w:rsidRDefault="002B3036">
      <w:pPr>
        <w:spacing w:line="377" w:lineRule="auto"/>
        <w:rPr>
          <w:rFonts w:ascii="宋体" w:eastAsia="宋体" w:hAnsi="宋体" w:cs="宋体"/>
          <w:sz w:val="28"/>
          <w:szCs w:val="28"/>
        </w:rPr>
      </w:pPr>
      <w:r>
        <w:rPr>
          <w:rFonts w:ascii="宋体" w:eastAsia="宋体" w:hAnsi="宋体" w:cs="宋体"/>
          <w:sz w:val="28"/>
          <w:szCs w:val="28"/>
        </w:rPr>
        <w:t>9、2017 年 9 月 14 日，石家庄市解决房地产开发遗留问题领导小组办公室已下发关于本项目复工许可的通知。</w:t>
      </w:r>
    </w:p>
    <w:p w:rsidR="00912FB6" w:rsidRDefault="00912FB6">
      <w:pPr>
        <w:spacing w:line="377" w:lineRule="auto"/>
        <w:rPr>
          <w:rFonts w:ascii="宋体" w:eastAsia="宋体" w:hAnsi="宋体" w:cs="宋体"/>
          <w:sz w:val="28"/>
          <w:szCs w:val="28"/>
        </w:rPr>
      </w:pPr>
    </w:p>
    <w:p w:rsidR="00912FB6" w:rsidRDefault="00912FB6">
      <w:pPr>
        <w:spacing w:line="39" w:lineRule="exact"/>
        <w:rPr>
          <w:sz w:val="20"/>
          <w:szCs w:val="20"/>
        </w:rPr>
      </w:pPr>
    </w:p>
    <w:p w:rsidR="00912FB6" w:rsidRDefault="002B3036">
      <w:pPr>
        <w:rPr>
          <w:sz w:val="20"/>
          <w:szCs w:val="20"/>
        </w:rPr>
      </w:pPr>
      <w:r>
        <w:rPr>
          <w:rFonts w:ascii="宋体" w:eastAsia="宋体" w:hAnsi="宋体" w:cs="宋体"/>
          <w:b/>
          <w:bCs/>
          <w:sz w:val="28"/>
          <w:szCs w:val="28"/>
        </w:rPr>
        <w:t>三、项目公司财务情况</w:t>
      </w:r>
    </w:p>
    <w:p w:rsidR="00912FB6" w:rsidRDefault="00912FB6">
      <w:pPr>
        <w:spacing w:line="232" w:lineRule="exact"/>
        <w:rPr>
          <w:sz w:val="20"/>
          <w:szCs w:val="20"/>
        </w:rPr>
      </w:pPr>
    </w:p>
    <w:p w:rsidR="00912FB6" w:rsidRDefault="002B3036">
      <w:pPr>
        <w:ind w:left="560"/>
        <w:rPr>
          <w:sz w:val="20"/>
          <w:szCs w:val="20"/>
        </w:rPr>
      </w:pPr>
      <w:r>
        <w:rPr>
          <w:rFonts w:ascii="宋体" w:eastAsia="宋体" w:hAnsi="宋体" w:cs="宋体"/>
          <w:sz w:val="27"/>
          <w:szCs w:val="27"/>
        </w:rPr>
        <w:t>本项目自 2011 年启动拆迁以来，已投入各项拆迁资金、工程款、</w:t>
      </w:r>
    </w:p>
    <w:p w:rsidR="00912FB6" w:rsidRDefault="00912FB6">
      <w:pPr>
        <w:spacing w:line="232" w:lineRule="exact"/>
        <w:rPr>
          <w:sz w:val="20"/>
          <w:szCs w:val="20"/>
        </w:rPr>
      </w:pPr>
    </w:p>
    <w:p w:rsidR="00912FB6" w:rsidRDefault="002B3036">
      <w:pPr>
        <w:rPr>
          <w:sz w:val="20"/>
          <w:szCs w:val="20"/>
        </w:rPr>
      </w:pPr>
      <w:r>
        <w:rPr>
          <w:rFonts w:ascii="宋体" w:eastAsia="宋体" w:hAnsi="宋体" w:cs="宋体"/>
          <w:sz w:val="27"/>
          <w:szCs w:val="27"/>
        </w:rPr>
        <w:t>向政府缴纳开工保证金、以及项目运转各项经费等，截止目前项目累计</w:t>
      </w:r>
    </w:p>
    <w:p w:rsidR="00912FB6" w:rsidRDefault="00912FB6">
      <w:pPr>
        <w:spacing w:line="221" w:lineRule="exact"/>
        <w:rPr>
          <w:sz w:val="20"/>
          <w:szCs w:val="20"/>
        </w:rPr>
      </w:pPr>
    </w:p>
    <w:p w:rsidR="00912FB6" w:rsidRDefault="002B3036">
      <w:pPr>
        <w:rPr>
          <w:sz w:val="20"/>
          <w:szCs w:val="20"/>
        </w:rPr>
      </w:pPr>
      <w:r>
        <w:rPr>
          <w:rFonts w:ascii="宋体" w:eastAsia="宋体" w:hAnsi="宋体" w:cs="宋体"/>
          <w:sz w:val="28"/>
          <w:szCs w:val="28"/>
        </w:rPr>
        <w:t>投入近 5 亿元。</w:t>
      </w:r>
    </w:p>
    <w:p w:rsidR="00912FB6" w:rsidRDefault="00912FB6">
      <w:pPr>
        <w:spacing w:line="221" w:lineRule="exact"/>
        <w:rPr>
          <w:sz w:val="20"/>
          <w:szCs w:val="20"/>
        </w:rPr>
      </w:pPr>
    </w:p>
    <w:p w:rsidR="00912FB6" w:rsidRDefault="002B3036">
      <w:pPr>
        <w:ind w:left="560"/>
        <w:rPr>
          <w:sz w:val="20"/>
          <w:szCs w:val="20"/>
        </w:rPr>
      </w:pPr>
      <w:r>
        <w:rPr>
          <w:rFonts w:ascii="宋体" w:eastAsia="宋体" w:hAnsi="宋体" w:cs="宋体"/>
          <w:sz w:val="28"/>
          <w:szCs w:val="28"/>
        </w:rPr>
        <w:t>目前公司无负债、无诉讼等情况。</w:t>
      </w:r>
    </w:p>
    <w:p w:rsidR="00912FB6" w:rsidRDefault="00912FB6">
      <w:pPr>
        <w:spacing w:line="221" w:lineRule="exact"/>
        <w:rPr>
          <w:sz w:val="20"/>
          <w:szCs w:val="20"/>
        </w:rPr>
      </w:pPr>
    </w:p>
    <w:p w:rsidR="00912FB6" w:rsidRDefault="002B3036">
      <w:pPr>
        <w:rPr>
          <w:sz w:val="20"/>
          <w:szCs w:val="20"/>
        </w:rPr>
      </w:pPr>
      <w:r>
        <w:rPr>
          <w:rFonts w:ascii="宋体" w:eastAsia="宋体" w:hAnsi="宋体" w:cs="宋体"/>
          <w:b/>
          <w:bCs/>
          <w:sz w:val="28"/>
          <w:szCs w:val="28"/>
        </w:rPr>
        <w:t>四、项目工程形象进度</w:t>
      </w:r>
    </w:p>
    <w:p w:rsidR="00912FB6" w:rsidRDefault="00912FB6">
      <w:pPr>
        <w:spacing w:line="221" w:lineRule="exact"/>
        <w:rPr>
          <w:sz w:val="20"/>
          <w:szCs w:val="20"/>
        </w:rPr>
      </w:pPr>
    </w:p>
    <w:p w:rsidR="00912FB6" w:rsidRDefault="002B3036">
      <w:pPr>
        <w:rPr>
          <w:sz w:val="20"/>
          <w:szCs w:val="20"/>
        </w:rPr>
      </w:pPr>
      <w:r>
        <w:rPr>
          <w:rFonts w:ascii="宋体" w:eastAsia="宋体" w:hAnsi="宋体" w:cs="宋体"/>
          <w:sz w:val="28"/>
          <w:szCs w:val="28"/>
        </w:rPr>
        <w:t>1、土方已完成 100%</w:t>
      </w:r>
    </w:p>
    <w:p w:rsidR="00912FB6" w:rsidRDefault="00912FB6">
      <w:pPr>
        <w:spacing w:line="221" w:lineRule="exact"/>
        <w:rPr>
          <w:sz w:val="20"/>
          <w:szCs w:val="20"/>
        </w:rPr>
      </w:pPr>
    </w:p>
    <w:p w:rsidR="00912FB6" w:rsidRDefault="002B3036">
      <w:pPr>
        <w:rPr>
          <w:sz w:val="20"/>
          <w:szCs w:val="20"/>
        </w:rPr>
      </w:pPr>
      <w:r>
        <w:rPr>
          <w:rFonts w:ascii="宋体" w:eastAsia="宋体" w:hAnsi="宋体" w:cs="宋体"/>
          <w:sz w:val="28"/>
          <w:szCs w:val="28"/>
        </w:rPr>
        <w:t xml:space="preserve">2、7 号楼已建设至 </w:t>
      </w:r>
      <w:r w:rsidR="002C4E05">
        <w:rPr>
          <w:rFonts w:ascii="宋体" w:eastAsia="宋体" w:hAnsi="宋体" w:cs="宋体" w:hint="eastAsia"/>
          <w:sz w:val="28"/>
          <w:szCs w:val="28"/>
        </w:rPr>
        <w:t>17</w:t>
      </w:r>
      <w:r>
        <w:rPr>
          <w:rFonts w:ascii="宋体" w:eastAsia="宋体" w:hAnsi="宋体" w:cs="宋体"/>
          <w:sz w:val="28"/>
          <w:szCs w:val="28"/>
        </w:rPr>
        <w:t xml:space="preserve"> 层顶板</w:t>
      </w:r>
    </w:p>
    <w:p w:rsidR="00912FB6" w:rsidRDefault="00912FB6">
      <w:pPr>
        <w:spacing w:line="221" w:lineRule="exact"/>
        <w:rPr>
          <w:sz w:val="20"/>
          <w:szCs w:val="20"/>
        </w:rPr>
      </w:pPr>
    </w:p>
    <w:p w:rsidR="00912FB6" w:rsidRDefault="002B3036">
      <w:pPr>
        <w:rPr>
          <w:sz w:val="20"/>
          <w:szCs w:val="20"/>
        </w:rPr>
      </w:pPr>
      <w:r>
        <w:rPr>
          <w:rFonts w:ascii="宋体" w:eastAsia="宋体" w:hAnsi="宋体" w:cs="宋体"/>
          <w:sz w:val="28"/>
          <w:szCs w:val="28"/>
        </w:rPr>
        <w:t>3、8 号楼已建设至 15 层顶板</w:t>
      </w:r>
    </w:p>
    <w:p w:rsidR="00912FB6" w:rsidRDefault="00912FB6">
      <w:pPr>
        <w:spacing w:line="221" w:lineRule="exact"/>
        <w:rPr>
          <w:sz w:val="20"/>
          <w:szCs w:val="20"/>
        </w:rPr>
      </w:pPr>
    </w:p>
    <w:p w:rsidR="00912FB6" w:rsidRDefault="002B3036">
      <w:pPr>
        <w:rPr>
          <w:sz w:val="20"/>
          <w:szCs w:val="20"/>
        </w:rPr>
      </w:pPr>
      <w:r>
        <w:rPr>
          <w:rFonts w:ascii="宋体" w:eastAsia="宋体" w:hAnsi="宋体" w:cs="宋体"/>
          <w:sz w:val="28"/>
          <w:szCs w:val="28"/>
        </w:rPr>
        <w:t>4、9 号楼已建设至 10 层顶板</w:t>
      </w:r>
    </w:p>
    <w:p w:rsidR="00912FB6" w:rsidRDefault="00912FB6">
      <w:pPr>
        <w:spacing w:line="221" w:lineRule="exact"/>
        <w:rPr>
          <w:sz w:val="20"/>
          <w:szCs w:val="20"/>
        </w:rPr>
      </w:pPr>
    </w:p>
    <w:p w:rsidR="00912FB6" w:rsidRDefault="002B3036">
      <w:pPr>
        <w:rPr>
          <w:sz w:val="20"/>
          <w:szCs w:val="20"/>
        </w:rPr>
      </w:pPr>
      <w:r>
        <w:rPr>
          <w:rFonts w:ascii="宋体" w:eastAsia="宋体" w:hAnsi="宋体" w:cs="宋体"/>
          <w:sz w:val="28"/>
          <w:szCs w:val="28"/>
        </w:rPr>
        <w:t>5、10 号楼已建设至 30 层顶板</w:t>
      </w:r>
    </w:p>
    <w:p w:rsidR="00912FB6" w:rsidRDefault="00912FB6">
      <w:pPr>
        <w:spacing w:line="221" w:lineRule="exact"/>
        <w:rPr>
          <w:sz w:val="20"/>
          <w:szCs w:val="20"/>
        </w:rPr>
      </w:pPr>
    </w:p>
    <w:p w:rsidR="00912FB6" w:rsidRDefault="002B3036">
      <w:pPr>
        <w:rPr>
          <w:sz w:val="20"/>
          <w:szCs w:val="20"/>
        </w:rPr>
      </w:pPr>
      <w:r>
        <w:rPr>
          <w:rFonts w:ascii="宋体" w:eastAsia="宋体" w:hAnsi="宋体" w:cs="宋体"/>
          <w:sz w:val="28"/>
          <w:szCs w:val="28"/>
        </w:rPr>
        <w:t>6、6 号楼已建设至 24 层顶板</w:t>
      </w:r>
    </w:p>
    <w:p w:rsidR="00912FB6" w:rsidRDefault="00912FB6">
      <w:pPr>
        <w:spacing w:line="221" w:lineRule="exact"/>
        <w:rPr>
          <w:sz w:val="20"/>
          <w:szCs w:val="20"/>
        </w:rPr>
      </w:pPr>
    </w:p>
    <w:p w:rsidR="00912FB6" w:rsidRDefault="002B3036">
      <w:pPr>
        <w:rPr>
          <w:sz w:val="20"/>
          <w:szCs w:val="20"/>
        </w:rPr>
      </w:pPr>
      <w:r>
        <w:rPr>
          <w:rFonts w:ascii="宋体" w:eastAsia="宋体" w:hAnsi="宋体" w:cs="宋体"/>
          <w:sz w:val="28"/>
          <w:szCs w:val="28"/>
        </w:rPr>
        <w:t>7、4 号楼已建设至 5 层顶板</w:t>
      </w:r>
    </w:p>
    <w:p w:rsidR="00912FB6" w:rsidRDefault="00912FB6">
      <w:pPr>
        <w:spacing w:line="221" w:lineRule="exact"/>
        <w:rPr>
          <w:sz w:val="20"/>
          <w:szCs w:val="20"/>
        </w:rPr>
      </w:pPr>
    </w:p>
    <w:p w:rsidR="00912FB6" w:rsidRDefault="002B3036">
      <w:pPr>
        <w:rPr>
          <w:sz w:val="20"/>
          <w:szCs w:val="20"/>
        </w:rPr>
      </w:pPr>
      <w:r>
        <w:rPr>
          <w:rFonts w:ascii="宋体" w:eastAsia="宋体" w:hAnsi="宋体" w:cs="宋体"/>
          <w:sz w:val="28"/>
          <w:szCs w:val="28"/>
        </w:rPr>
        <w:t>8、3 号楼已建设至 2 层顶板</w:t>
      </w:r>
    </w:p>
    <w:p w:rsidR="00912FB6" w:rsidRDefault="00912FB6">
      <w:pPr>
        <w:spacing w:line="221" w:lineRule="exact"/>
        <w:rPr>
          <w:sz w:val="20"/>
          <w:szCs w:val="20"/>
        </w:rPr>
      </w:pPr>
    </w:p>
    <w:p w:rsidR="00912FB6" w:rsidRDefault="002B3036">
      <w:pPr>
        <w:rPr>
          <w:sz w:val="20"/>
          <w:szCs w:val="20"/>
        </w:rPr>
      </w:pPr>
      <w:r>
        <w:rPr>
          <w:rFonts w:ascii="宋体" w:eastAsia="宋体" w:hAnsi="宋体" w:cs="宋体"/>
          <w:sz w:val="28"/>
          <w:szCs w:val="28"/>
        </w:rPr>
        <w:t>9、 1、2 号楼已完成桩基施工</w:t>
      </w:r>
    </w:p>
    <w:p w:rsidR="00912FB6" w:rsidRDefault="00912FB6">
      <w:pPr>
        <w:spacing w:line="269" w:lineRule="exact"/>
        <w:rPr>
          <w:sz w:val="20"/>
          <w:szCs w:val="20"/>
        </w:rPr>
      </w:pPr>
    </w:p>
    <w:p w:rsidR="00912FB6" w:rsidRDefault="002B3036" w:rsidP="0014148E">
      <w:pPr>
        <w:rPr>
          <w:sz w:val="20"/>
          <w:szCs w:val="20"/>
        </w:rPr>
      </w:pPr>
      <w:r>
        <w:rPr>
          <w:rFonts w:ascii="宋体" w:eastAsia="宋体" w:hAnsi="宋体" w:cs="宋体"/>
          <w:b/>
          <w:bCs/>
          <w:color w:val="333333"/>
          <w:sz w:val="28"/>
          <w:szCs w:val="28"/>
        </w:rPr>
        <w:t>五、资金使用说明及还款计划</w:t>
      </w:r>
    </w:p>
    <w:p w:rsidR="00912FB6" w:rsidRDefault="00912FB6">
      <w:pPr>
        <w:spacing w:line="320" w:lineRule="exact"/>
        <w:rPr>
          <w:sz w:val="20"/>
          <w:szCs w:val="20"/>
        </w:rPr>
      </w:pPr>
    </w:p>
    <w:p w:rsidR="00912FB6" w:rsidRDefault="002B3036">
      <w:pPr>
        <w:spacing w:line="436" w:lineRule="auto"/>
        <w:ind w:right="60" w:firstLine="550"/>
        <w:jc w:val="both"/>
        <w:rPr>
          <w:sz w:val="20"/>
          <w:szCs w:val="20"/>
        </w:rPr>
      </w:pPr>
      <w:r>
        <w:rPr>
          <w:rFonts w:ascii="宋体" w:eastAsia="宋体" w:hAnsi="宋体" w:cs="宋体"/>
          <w:color w:val="333333"/>
          <w:sz w:val="28"/>
          <w:szCs w:val="28"/>
        </w:rPr>
        <w:lastRenderedPageBreak/>
        <w:t>本项目土地招拍挂共需资金 112 亩×800 万/亩=89600 万元，我公司已解决 8 亿元资金，尚需 9600 万元用于土地招拍挂，及后期部分建设资金，共计 1.5 亿。</w:t>
      </w:r>
    </w:p>
    <w:p w:rsidR="00912FB6" w:rsidRDefault="00912FB6">
      <w:pPr>
        <w:spacing w:line="21" w:lineRule="exact"/>
        <w:rPr>
          <w:sz w:val="20"/>
          <w:szCs w:val="20"/>
        </w:rPr>
      </w:pPr>
    </w:p>
    <w:p w:rsidR="00912FB6" w:rsidRDefault="002B3036">
      <w:pPr>
        <w:ind w:left="560"/>
        <w:rPr>
          <w:sz w:val="20"/>
          <w:szCs w:val="20"/>
        </w:rPr>
      </w:pPr>
      <w:r>
        <w:rPr>
          <w:rFonts w:ascii="宋体" w:eastAsia="宋体" w:hAnsi="宋体" w:cs="宋体"/>
          <w:color w:val="333333"/>
          <w:sz w:val="28"/>
          <w:szCs w:val="28"/>
        </w:rPr>
        <w:t>还款计划：</w:t>
      </w:r>
    </w:p>
    <w:p w:rsidR="00912FB6" w:rsidRDefault="00912FB6">
      <w:pPr>
        <w:spacing w:line="292" w:lineRule="exact"/>
        <w:rPr>
          <w:sz w:val="20"/>
          <w:szCs w:val="20"/>
        </w:rPr>
      </w:pPr>
    </w:p>
    <w:p w:rsidR="00912FB6" w:rsidRDefault="002B3036">
      <w:pPr>
        <w:spacing w:line="239" w:lineRule="auto"/>
        <w:ind w:left="560"/>
        <w:rPr>
          <w:sz w:val="20"/>
          <w:szCs w:val="20"/>
        </w:rPr>
      </w:pPr>
      <w:r>
        <w:rPr>
          <w:rFonts w:ascii="宋体" w:eastAsia="宋体" w:hAnsi="宋体" w:cs="宋体"/>
          <w:sz w:val="27"/>
          <w:szCs w:val="27"/>
        </w:rPr>
        <w:t>1、项目预计实现销售收入金额为 44 亿元，扣除各项成本（约 18</w:t>
      </w:r>
    </w:p>
    <w:p w:rsidR="00912FB6" w:rsidRDefault="00912FB6">
      <w:pPr>
        <w:spacing w:line="320" w:lineRule="exact"/>
        <w:rPr>
          <w:sz w:val="20"/>
          <w:szCs w:val="20"/>
        </w:rPr>
      </w:pPr>
    </w:p>
    <w:p w:rsidR="00912FB6" w:rsidRDefault="002B3036">
      <w:pPr>
        <w:spacing w:line="422" w:lineRule="auto"/>
        <w:ind w:right="60"/>
        <w:jc w:val="both"/>
        <w:rPr>
          <w:sz w:val="20"/>
          <w:szCs w:val="20"/>
        </w:rPr>
      </w:pPr>
      <w:r>
        <w:rPr>
          <w:rFonts w:ascii="宋体" w:eastAsia="宋体" w:hAnsi="宋体" w:cs="宋体"/>
          <w:sz w:val="28"/>
          <w:szCs w:val="28"/>
        </w:rPr>
        <w:t>亿）后，仍可实现回款 26 亿元，完全可覆盖融资本息，实现销售回款后优先偿还本次贷款。</w:t>
      </w:r>
    </w:p>
    <w:p w:rsidR="00912FB6" w:rsidRDefault="00912FB6">
      <w:pPr>
        <w:spacing w:line="77" w:lineRule="exact"/>
        <w:rPr>
          <w:sz w:val="20"/>
          <w:szCs w:val="20"/>
        </w:rPr>
      </w:pPr>
    </w:p>
    <w:p w:rsidR="00912FB6" w:rsidRDefault="002B3036" w:rsidP="00EF2571">
      <w:pPr>
        <w:spacing w:line="436" w:lineRule="auto"/>
        <w:ind w:firstLine="559"/>
        <w:jc w:val="both"/>
        <w:rPr>
          <w:sz w:val="20"/>
          <w:szCs w:val="20"/>
        </w:rPr>
      </w:pPr>
      <w:r>
        <w:rPr>
          <w:rFonts w:ascii="宋体" w:eastAsia="宋体" w:hAnsi="宋体" w:cs="宋体"/>
          <w:sz w:val="28"/>
          <w:szCs w:val="28"/>
        </w:rPr>
        <w:t xml:space="preserve">2、在建工程质押：本项目地上可售住宅建筑面积共计 </w:t>
      </w:r>
      <w:r>
        <w:rPr>
          <w:rFonts w:ascii="宋体" w:eastAsia="宋体" w:hAnsi="宋体" w:cs="宋体"/>
          <w:color w:val="333333"/>
          <w:sz w:val="28"/>
          <w:szCs w:val="28"/>
        </w:rPr>
        <w:t>127496</w:t>
      </w:r>
      <w:r>
        <w:rPr>
          <w:rFonts w:ascii="宋体" w:eastAsia="宋体" w:hAnsi="宋体" w:cs="宋体"/>
          <w:sz w:val="28"/>
          <w:szCs w:val="28"/>
        </w:rPr>
        <w:t xml:space="preserve"> </w:t>
      </w:r>
      <w:r>
        <w:rPr>
          <w:rFonts w:ascii="宋体" w:eastAsia="宋体" w:hAnsi="宋体" w:cs="宋体"/>
          <w:color w:val="333333"/>
          <w:sz w:val="28"/>
          <w:szCs w:val="28"/>
        </w:rPr>
        <w:t>㎡，按市场价约合 18000 元/㎡。若质押 20000 ㎡，按 8000 元/㎡质押，约合 1.6 亿元。我公司可后期回购</w:t>
      </w:r>
      <w:r w:rsidR="008E0E90">
        <w:rPr>
          <w:rFonts w:ascii="宋体" w:eastAsia="宋体" w:hAnsi="宋体" w:cs="宋体" w:hint="eastAsia"/>
          <w:color w:val="333333"/>
          <w:sz w:val="28"/>
          <w:szCs w:val="28"/>
        </w:rPr>
        <w:t>，同时签订回购协议</w:t>
      </w:r>
      <w:r>
        <w:rPr>
          <w:rFonts w:ascii="宋体" w:eastAsia="宋体" w:hAnsi="宋体" w:cs="宋体"/>
          <w:color w:val="333333"/>
          <w:sz w:val="28"/>
          <w:szCs w:val="28"/>
        </w:rPr>
        <w:t>。</w:t>
      </w:r>
      <w:bookmarkEnd w:id="0"/>
    </w:p>
    <w:sectPr w:rsidR="00912FB6" w:rsidSect="00EF2571">
      <w:pgSz w:w="11900" w:h="16838"/>
      <w:pgMar w:top="1440" w:right="1580" w:bottom="730" w:left="1640" w:header="0" w:footer="0" w:gutter="0"/>
      <w:cols w:space="720" w:equalWidth="0">
        <w:col w:w="86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AC2" w:rsidRDefault="00EE3AC2" w:rsidP="008E0E90">
      <w:r>
        <w:separator/>
      </w:r>
    </w:p>
  </w:endnote>
  <w:endnote w:type="continuationSeparator" w:id="0">
    <w:p w:rsidR="00EE3AC2" w:rsidRDefault="00EE3AC2" w:rsidP="008E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AC2" w:rsidRDefault="00EE3AC2" w:rsidP="008E0E90">
      <w:r>
        <w:separator/>
      </w:r>
    </w:p>
  </w:footnote>
  <w:footnote w:type="continuationSeparator" w:id="0">
    <w:p w:rsidR="00EE3AC2" w:rsidRDefault="00EE3AC2" w:rsidP="008E0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
  <w:rsids>
    <w:rsidRoot w:val="00912FB6"/>
    <w:rsid w:val="00080028"/>
    <w:rsid w:val="0014148E"/>
    <w:rsid w:val="00155D87"/>
    <w:rsid w:val="002554CD"/>
    <w:rsid w:val="00280647"/>
    <w:rsid w:val="00287092"/>
    <w:rsid w:val="002B3036"/>
    <w:rsid w:val="002C4E05"/>
    <w:rsid w:val="004E3D7C"/>
    <w:rsid w:val="0083582A"/>
    <w:rsid w:val="008E0E90"/>
    <w:rsid w:val="00912FB6"/>
    <w:rsid w:val="00A9075D"/>
    <w:rsid w:val="00EE3AC2"/>
    <w:rsid w:val="00EF2571"/>
    <w:rsid w:val="00F446B5"/>
    <w:rsid w:val="222A1DF2"/>
    <w:rsid w:val="22355A33"/>
    <w:rsid w:val="24210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A82DC68-CBF9-4B7F-BB86-786148BE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FB6"/>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rsid w:val="00912FB6"/>
    <w:pPr>
      <w:tabs>
        <w:tab w:val="center" w:pos="4153"/>
        <w:tab w:val="right" w:pos="8306"/>
      </w:tabs>
      <w:snapToGrid w:val="0"/>
    </w:pPr>
    <w:rPr>
      <w:sz w:val="18"/>
    </w:rPr>
  </w:style>
  <w:style w:type="paragraph" w:styleId="a4">
    <w:name w:val="header"/>
    <w:basedOn w:val="a"/>
    <w:uiPriority w:val="99"/>
    <w:semiHidden/>
    <w:unhideWhenUsed/>
    <w:rsid w:val="00912FB6"/>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lxf</cp:lastModifiedBy>
  <cp:revision>9</cp:revision>
  <dcterms:created xsi:type="dcterms:W3CDTF">2020-05-06T12:07:00Z</dcterms:created>
  <dcterms:modified xsi:type="dcterms:W3CDTF">2020-07-30T07:24:00Z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