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融资计划书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融资额度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：2亿元，其中7500万元用于受托支付给政府补缴剩余土地款3500万元，滞纳金1580万元和配套费约2500万元左右。其他剩余款项用于受托支付于总包方工程款，追回2万余方工抵房。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融资期限：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6+3个月。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情况说明：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沈阳昊业公司于2012年获取该项目，总土地款1.12亿元，沈阳昊业已缴纳土地款项7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00余万元，现项目已封顶，准现房。因土地尾款、滞纳金和配套费未缴足，故导致无法办理手续销售。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1593850</wp:posOffset>
            </wp:positionV>
            <wp:extent cx="1979295" cy="1484630"/>
            <wp:effectExtent l="0" t="0" r="1905" b="8890"/>
            <wp:wrapNone/>
            <wp:docPr id="2097156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56" name="图片 8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1631315</wp:posOffset>
            </wp:positionV>
            <wp:extent cx="1979295" cy="1484630"/>
            <wp:effectExtent l="0" t="0" r="1905" b="8890"/>
            <wp:wrapNone/>
            <wp:docPr id="2097154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54" name="图片 8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1979295" cy="1484630"/>
            <wp:effectExtent l="0" t="0" r="1905" b="8890"/>
            <wp:wrapNone/>
            <wp:docPr id="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0</wp:posOffset>
            </wp:positionV>
            <wp:extent cx="1979295" cy="1484630"/>
            <wp:effectExtent l="0" t="0" r="1905" b="8890"/>
            <wp:wrapNone/>
            <wp:docPr id="2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1631950</wp:posOffset>
            </wp:positionV>
            <wp:extent cx="1979295" cy="1484630"/>
            <wp:effectExtent l="0" t="0" r="1905" b="8890"/>
            <wp:wrapNone/>
            <wp:docPr id="3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该项目总建面积10万方，其中三万方已与总包单位商谈工抵（3万方可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商谈赎回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），因该项目手续不齐全，故总包单位与公司有诉讼，属于总包单位资产保全措施，手续齐备后该诉讼可解。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操作模式：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资金方先行收购该公司股权，可达到控股状态，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同时可以获得原股东方提供的有手续的2500平商铺做抵押，资方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以股东借款形式介入，出资750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，用于解决该项目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诉讼和解协议，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项目手续齐备后（2个月内手续全部齐备），可将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万余方在建工程抵押于资金方。抵押后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资方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再出资2亿余元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上述资金全部采用资金方监管和受托支付，资金专款专用。</w:t>
      </w:r>
    </w:p>
    <w:p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项目公司支付资金方年化固定回报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以及部分项目利润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389F"/>
    <w:rsid w:val="13D75825"/>
    <w:rsid w:val="65D11E4E"/>
    <w:rsid w:val="65FC08A3"/>
    <w:rsid w:val="662E5F68"/>
    <w:rsid w:val="7BA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2020-06-22T01:32:00Z</dcterms:created>
  <dc:creator>DELL</dc:creator>
  <cp:lastModifiedBy>唐成亮</cp:lastModifiedBy>
  <dcterms:modified xsi:type="dcterms:W3CDTF">2020-09-08T00:34:39Z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