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Lines="50" w:afterLines="50"/>
        <w:jc w:val="center"/>
        <w:rPr>
          <w:rFonts w:asciiTheme="minorEastAsia" w:hAnsiTheme="minorEastAsia"/>
          <w:b/>
          <w:sz w:val="36"/>
          <w:highlight w:val="none"/>
        </w:rPr>
      </w:pPr>
      <w:r>
        <w:rPr>
          <w:rFonts w:hint="eastAsia" w:asciiTheme="minorEastAsia" w:hAnsiTheme="minorEastAsia"/>
          <w:b/>
          <w:sz w:val="36"/>
          <w:highlight w:val="none"/>
        </w:rPr>
        <w:t>锦程悦府项目可行性融资与还款计划</w:t>
      </w:r>
    </w:p>
    <w:p>
      <w:pPr>
        <w:snapToGrid w:val="0"/>
        <w:spacing w:beforeLines="50" w:afterLines="50"/>
        <w:jc w:val="center"/>
        <w:rPr>
          <w:rFonts w:asciiTheme="minorEastAsia" w:hAnsiTheme="minorEastAsia"/>
          <w:b/>
          <w:sz w:val="36"/>
          <w:highlight w:val="none"/>
        </w:rPr>
      </w:pPr>
      <w:r>
        <w:rPr>
          <w:rFonts w:hint="eastAsia" w:asciiTheme="minorEastAsia" w:hAnsiTheme="minorEastAsia"/>
          <w:b/>
          <w:sz w:val="36"/>
          <w:highlight w:val="none"/>
        </w:rPr>
        <w:t>综合分析</w:t>
      </w:r>
    </w:p>
    <w:p>
      <w:pPr>
        <w:snapToGrid w:val="0"/>
        <w:spacing w:beforeLines="50" w:afterLines="50" w:line="360" w:lineRule="auto"/>
        <w:ind w:firstLine="560" w:firstLineChars="200"/>
        <w:rPr>
          <w:rFonts w:asciiTheme="minorEastAsia" w:hAnsiTheme="minorEastAsia"/>
          <w:sz w:val="28"/>
          <w:szCs w:val="28"/>
          <w:highlight w:val="none"/>
        </w:rPr>
      </w:pPr>
      <w:r>
        <w:rPr>
          <w:rFonts w:hint="eastAsia" w:asciiTheme="minorEastAsia" w:hAnsiTheme="minorEastAsia" w:cstheme="minorEastAsia"/>
          <w:sz w:val="28"/>
          <w:szCs w:val="28"/>
          <w:highlight w:val="none"/>
        </w:rPr>
        <w:t>许昌宏德置业有限公司拟开发建设的</w:t>
      </w:r>
      <w:r>
        <w:rPr>
          <w:rFonts w:hint="eastAsia" w:asciiTheme="minorEastAsia" w:hAnsiTheme="minorEastAsia"/>
          <w:sz w:val="28"/>
          <w:szCs w:val="28"/>
          <w:highlight w:val="none"/>
        </w:rPr>
        <w:t>锦程悦府项目位于</w:t>
      </w:r>
      <w:r>
        <w:rPr>
          <w:rFonts w:hint="eastAsia" w:asciiTheme="minorEastAsia" w:hAnsiTheme="minorEastAsia"/>
          <w:sz w:val="28"/>
          <w:szCs w:val="28"/>
          <w:highlight w:val="none"/>
        </w:rPr>
        <w:t>许昌市许东新城核心区</w:t>
      </w:r>
      <w:r>
        <w:rPr>
          <w:rFonts w:hint="eastAsia" w:asciiTheme="minorEastAsia" w:hAnsiTheme="minorEastAsia"/>
          <w:sz w:val="28"/>
          <w:szCs w:val="28"/>
          <w:highlight w:val="none"/>
        </w:rPr>
        <w:t>，在东城区</w:t>
      </w:r>
      <w:r>
        <w:rPr>
          <w:rFonts w:hint="eastAsia" w:cs="宋体" w:asciiTheme="minorEastAsia" w:hAnsiTheme="minorEastAsia"/>
          <w:sz w:val="28"/>
          <w:szCs w:val="28"/>
          <w:highlight w:val="none"/>
        </w:rPr>
        <w:t>东鹏街东段路南(西与新东街衔接)，</w:t>
      </w:r>
      <w:r>
        <w:rPr>
          <w:rFonts w:hint="eastAsia" w:cs="宋体" w:asciiTheme="minorEastAsia" w:hAnsiTheme="minorEastAsia"/>
          <w:sz w:val="28"/>
          <w:szCs w:val="28"/>
          <w:highlight w:val="none"/>
        </w:rPr>
        <w:t>本项目占地149.127亩，</w:t>
      </w:r>
      <w:r>
        <w:rPr>
          <w:rFonts w:hint="eastAsia" w:cs="宋体" w:asciiTheme="minorEastAsia" w:hAnsiTheme="minorEastAsia"/>
          <w:sz w:val="28"/>
          <w:szCs w:val="28"/>
          <w:highlight w:val="none"/>
        </w:rPr>
        <w:t>分为东西两块地，东边一块D58-2#为64.884亩，西边一块D58-3#为84.243亩，土地性质为住宅用地；总规划建筑地上面积约18.31万㎡，</w:t>
      </w:r>
      <w:r>
        <w:rPr>
          <w:rFonts w:hint="eastAsia" w:asciiTheme="minorEastAsia" w:hAnsiTheme="minorEastAsia"/>
          <w:sz w:val="28"/>
          <w:szCs w:val="28"/>
          <w:highlight w:val="none"/>
        </w:rPr>
        <w:t>地下车库约51000㎡；其中基础设施配套约1750㎡、商业面积约11500㎡。建筑密度28%，</w:t>
      </w:r>
      <w:r>
        <w:rPr>
          <w:rFonts w:hint="eastAsia" w:asciiTheme="minorEastAsia" w:hAnsiTheme="minorEastAsia"/>
          <w:sz w:val="28"/>
          <w:szCs w:val="28"/>
          <w:highlight w:val="none"/>
        </w:rPr>
        <w:t>容积率2.0</w:t>
      </w:r>
      <w:r>
        <w:rPr>
          <w:rFonts w:hint="eastAsia" w:asciiTheme="minorEastAsia" w:hAnsiTheme="minorEastAsia"/>
          <w:sz w:val="28"/>
          <w:szCs w:val="28"/>
          <w:highlight w:val="none"/>
        </w:rPr>
        <w:t>。本项目土地公司通过公开竞拍法定程序已经拍得。</w:t>
      </w:r>
    </w:p>
    <w:p>
      <w:pPr>
        <w:snapToGrid w:val="0"/>
        <w:spacing w:beforeLines="50" w:afterLines="50" w:line="360" w:lineRule="auto"/>
        <w:ind w:firstLine="562" w:firstLineChars="200"/>
        <w:rPr>
          <w:rFonts w:asciiTheme="minorEastAsia" w:hAnsiTheme="minorEastAsia"/>
          <w:b/>
          <w:sz w:val="28"/>
          <w:szCs w:val="28"/>
          <w:highlight w:val="none"/>
        </w:rPr>
      </w:pPr>
      <w:r>
        <w:rPr>
          <w:rFonts w:hint="eastAsia" w:asciiTheme="minorEastAsia" w:hAnsiTheme="minorEastAsia"/>
          <w:b/>
          <w:sz w:val="28"/>
          <w:szCs w:val="28"/>
          <w:highlight w:val="none"/>
        </w:rPr>
        <w:t>一、项目区域位置好</w:t>
      </w:r>
    </w:p>
    <w:p>
      <w:pPr>
        <w:snapToGrid w:val="0"/>
        <w:spacing w:beforeLines="50" w:afterLines="50" w:line="360" w:lineRule="auto"/>
        <w:ind w:firstLine="560" w:firstLineChars="200"/>
        <w:rPr>
          <w:sz w:val="28"/>
          <w:szCs w:val="28"/>
          <w:highlight w:val="none"/>
        </w:rPr>
      </w:pPr>
      <w:r>
        <w:rPr>
          <w:rFonts w:hint="eastAsia" w:asciiTheme="minorEastAsia" w:hAnsiTheme="minorEastAsia"/>
          <w:sz w:val="28"/>
          <w:szCs w:val="28"/>
          <w:highlight w:val="none"/>
        </w:rPr>
        <w:t>该项目位于许昌市委、市政府规划的许昌城区东扩——即“许东新城”核心重点发展区域</w:t>
      </w:r>
      <w:r>
        <w:rPr>
          <w:rFonts w:hint="eastAsia" w:asciiTheme="minorEastAsia" w:hAnsiTheme="minorEastAsia"/>
          <w:sz w:val="28"/>
          <w:szCs w:val="28"/>
          <w:highlight w:val="none"/>
        </w:rPr>
        <w:t>，周边以多层、小高层、低密度住宅为主，系许昌市东城区许东新城高端养生、休闲、居住区的重要组成部分。南邻许昌市规模最大的秋湖湿地公园、儿童欢乐园和恐龙世纪园；西邻即与</w:t>
      </w:r>
      <w:r>
        <w:rPr>
          <w:rFonts w:hint="eastAsia" w:cs="宋体" w:asciiTheme="minorEastAsia" w:hAnsiTheme="minorEastAsia"/>
          <w:sz w:val="28"/>
          <w:szCs w:val="28"/>
          <w:highlight w:val="none"/>
        </w:rPr>
        <w:t>江苏教育集团投资新建的新时代国际学校（贵族学校）为邻，毗邻创客服务基地。从项目再向西打通新东街与东鹏街连接的道路后（该路已公开招投标，并于明年7月底通行），本项目距市区仅750米。与已开工建设的忠武路（南至新兴路，北至新元大道，由中铁十九局承建，2020年10月建成通车）相距不足300米。系许昌市5路、19路公交的终点站，距许昌高铁东站约4公里，交通便利，基础设施已趋于完善，区位优势十分突出。</w:t>
      </w:r>
    </w:p>
    <w:p>
      <w:pPr>
        <w:snapToGrid w:val="0"/>
        <w:spacing w:beforeLines="50" w:afterLines="50" w:line="360" w:lineRule="auto"/>
        <w:ind w:firstLine="562" w:firstLineChars="200"/>
        <w:rPr>
          <w:b/>
          <w:sz w:val="28"/>
          <w:szCs w:val="28"/>
          <w:highlight w:val="none"/>
        </w:rPr>
      </w:pPr>
      <w:r>
        <w:rPr>
          <w:rFonts w:hint="eastAsia"/>
          <w:b/>
          <w:sz w:val="28"/>
          <w:szCs w:val="28"/>
          <w:highlight w:val="none"/>
        </w:rPr>
        <w:t>二、项目规划设计方案</w:t>
      </w:r>
    </w:p>
    <w:p>
      <w:pPr>
        <w:snapToGrid w:val="0"/>
        <w:spacing w:beforeLines="50" w:afterLines="50" w:line="360" w:lineRule="auto"/>
        <w:ind w:firstLine="560" w:firstLineChars="200"/>
        <w:rPr>
          <w:sz w:val="28"/>
          <w:szCs w:val="28"/>
          <w:highlight w:val="none"/>
        </w:rPr>
      </w:pPr>
      <w:r>
        <w:rPr>
          <w:rFonts w:hint="eastAsia"/>
          <w:sz w:val="28"/>
          <w:szCs w:val="28"/>
          <w:highlight w:val="none"/>
        </w:rPr>
        <w:t>该项目根据许昌市规划部门出具的控制性规划容积率&lt;2.0的技术指标和其它要求进行设计，D58-2#和D58-3#两块出让住宅用地共设计地面以上建筑约18.31万㎡，其中住宅约169250㎡，社区和物业用房1750㎡，地下停车位约62880㎡。在规划设计的住宅中，一层送庭院加送地下储藏室洋房，计划设计约19683㎡；二、三层退台洋房，计划设计约39366㎡；商业门店计划设计约8000㎡；九层普通洋房，计划设计约110101㎡；公建配套用房1750㎡；幼儿园（产权自有）4100㎡。</w:t>
      </w:r>
    </w:p>
    <w:p>
      <w:pPr>
        <w:snapToGrid w:val="0"/>
        <w:spacing w:beforeLines="50" w:afterLines="50" w:line="360" w:lineRule="auto"/>
        <w:ind w:firstLine="560" w:firstLineChars="200"/>
        <w:rPr>
          <w:sz w:val="28"/>
          <w:szCs w:val="28"/>
          <w:highlight w:val="none"/>
        </w:rPr>
      </w:pPr>
      <w:r>
        <w:rPr>
          <w:rFonts w:hint="eastAsia"/>
          <w:sz w:val="28"/>
          <w:szCs w:val="28"/>
          <w:highlight w:val="none"/>
        </w:rPr>
        <w:t>规划设计的地下部分全部为停车位，不建人防，向人防部门缴纳人防异地建设费。</w:t>
      </w:r>
    </w:p>
    <w:p>
      <w:pPr>
        <w:snapToGrid w:val="0"/>
        <w:spacing w:beforeLines="50" w:afterLines="50" w:line="360" w:lineRule="auto"/>
        <w:ind w:firstLine="562" w:firstLineChars="200"/>
        <w:rPr>
          <w:b/>
          <w:sz w:val="28"/>
          <w:szCs w:val="28"/>
          <w:highlight w:val="none"/>
        </w:rPr>
      </w:pPr>
      <w:r>
        <w:rPr>
          <w:rFonts w:hint="eastAsia"/>
          <w:b/>
          <w:sz w:val="28"/>
          <w:szCs w:val="28"/>
          <w:highlight w:val="none"/>
        </w:rPr>
        <w:t>三、营销策略及实施方法</w:t>
      </w:r>
    </w:p>
    <w:p>
      <w:pPr>
        <w:snapToGrid w:val="0"/>
        <w:spacing w:beforeLines="50" w:afterLines="50" w:line="360" w:lineRule="auto"/>
        <w:ind w:firstLine="560" w:firstLineChars="200"/>
        <w:rPr>
          <w:sz w:val="28"/>
          <w:szCs w:val="28"/>
          <w:highlight w:val="none"/>
        </w:rPr>
      </w:pPr>
      <w:r>
        <w:rPr>
          <w:rFonts w:hint="eastAsia"/>
          <w:sz w:val="28"/>
          <w:szCs w:val="28"/>
          <w:highlight w:val="none"/>
        </w:rPr>
        <w:t>充分运用“双公司市场化个人委托代理建房”（简称“委托代建”）的创新模式，分别采取“同时施工、联动销售”和“团购为主、散户为辅”及价格优势，确保销售快，资金回笼快。</w:t>
      </w:r>
    </w:p>
    <w:p>
      <w:pPr>
        <w:snapToGrid w:val="0"/>
        <w:spacing w:beforeLines="50" w:afterLines="50" w:line="360" w:lineRule="auto"/>
        <w:ind w:firstLine="560" w:firstLineChars="200"/>
        <w:rPr>
          <w:sz w:val="28"/>
          <w:szCs w:val="28"/>
          <w:highlight w:val="none"/>
        </w:rPr>
      </w:pPr>
      <w:r>
        <w:rPr>
          <w:rFonts w:hint="eastAsia"/>
          <w:sz w:val="28"/>
          <w:szCs w:val="28"/>
          <w:highlight w:val="none"/>
        </w:rPr>
        <w:t>①、“同时施工、联动销售”。即两块土地同期开发建设，对两块土地住房的销售一并展开，全面推动住房销售，加速资金的回笼。</w:t>
      </w:r>
    </w:p>
    <w:p>
      <w:pPr>
        <w:snapToGrid w:val="0"/>
        <w:spacing w:beforeLines="50" w:afterLines="50" w:line="360" w:lineRule="auto"/>
        <w:ind w:firstLine="560" w:firstLineChars="200"/>
        <w:rPr>
          <w:sz w:val="28"/>
          <w:szCs w:val="28"/>
          <w:highlight w:val="none"/>
        </w:rPr>
      </w:pPr>
      <w:r>
        <w:rPr>
          <w:rFonts w:hint="eastAsia"/>
          <w:sz w:val="28"/>
          <w:szCs w:val="28"/>
          <w:highlight w:val="none"/>
        </w:rPr>
        <w:t>②、“团购为主、散户为辅”。充分利用“委托代建”住房的创新模式中精细化管理带来的价格优势，吸引项目周边的企事业单位组织团购，与此同时，利用公司的诚信力和在老客户中的影响力，采取“以老带新”、“主动出击”等灵活多样的营销方式，广泛宣传动员社会各界需房人员积极参与。</w:t>
      </w:r>
    </w:p>
    <w:p>
      <w:pPr>
        <w:snapToGrid w:val="0"/>
        <w:spacing w:beforeLines="50" w:afterLines="50" w:line="360" w:lineRule="auto"/>
        <w:ind w:firstLine="560" w:firstLineChars="200"/>
        <w:rPr>
          <w:sz w:val="28"/>
          <w:szCs w:val="28"/>
          <w:highlight w:val="none"/>
        </w:rPr>
      </w:pPr>
      <w:r>
        <w:rPr>
          <w:rFonts w:hint="eastAsia"/>
          <w:sz w:val="28"/>
          <w:szCs w:val="28"/>
          <w:highlight w:val="none"/>
        </w:rPr>
        <w:t>③、合理定位，快出快销。在营销过程中，根据客户购房一次性交款的多少和单位团购一次性参与购房人数的多少，以及当地及项目周边市场商品房价格的变化，及时采取合理灵活的价格定位，确保住房销得快，资金回笼快。</w:t>
      </w:r>
    </w:p>
    <w:p>
      <w:pPr>
        <w:snapToGrid w:val="0"/>
        <w:spacing w:beforeLines="50" w:afterLines="50" w:line="360" w:lineRule="auto"/>
        <w:rPr>
          <w:rFonts w:hint="eastAsia"/>
          <w:sz w:val="28"/>
          <w:szCs w:val="28"/>
          <w:highlight w:val="none"/>
        </w:rPr>
      </w:pPr>
    </w:p>
    <w:p>
      <w:pPr>
        <w:snapToGrid w:val="0"/>
        <w:spacing w:beforeLines="50" w:afterLines="50" w:line="360" w:lineRule="auto"/>
        <w:ind w:firstLine="562" w:firstLineChars="200"/>
        <w:rPr>
          <w:b/>
          <w:sz w:val="28"/>
          <w:szCs w:val="28"/>
          <w:highlight w:val="none"/>
        </w:rPr>
      </w:pPr>
      <w:r>
        <w:rPr>
          <w:rFonts w:hint="eastAsia"/>
          <w:b/>
          <w:sz w:val="28"/>
          <w:szCs w:val="28"/>
          <w:highlight w:val="none"/>
        </w:rPr>
        <w:t>四、项目成本的构成及投资总额</w:t>
      </w:r>
    </w:p>
    <w:p>
      <w:pPr>
        <w:snapToGrid w:val="0"/>
        <w:spacing w:beforeLines="50" w:afterLines="50" w:line="360" w:lineRule="auto"/>
        <w:ind w:firstLine="560" w:firstLineChars="200"/>
        <w:rPr>
          <w:sz w:val="28"/>
          <w:szCs w:val="28"/>
          <w:highlight w:val="none"/>
        </w:rPr>
      </w:pPr>
      <w:r>
        <w:rPr>
          <w:rFonts w:hint="eastAsia"/>
          <w:sz w:val="28"/>
          <w:szCs w:val="28"/>
          <w:highlight w:val="none"/>
        </w:rPr>
        <w:t>项目的主要成本构成有6大项，即土地楼面价、建安成本、行政事业性收费、税收、综合配套、不可预见费等，综合成本约为4326元/㎡，总投资约为645000万元。分述如下：</w:t>
      </w:r>
    </w:p>
    <w:p>
      <w:pPr>
        <w:snapToGrid w:val="0"/>
        <w:spacing w:beforeLines="50" w:afterLines="50" w:line="360" w:lineRule="auto"/>
        <w:ind w:firstLine="560" w:firstLineChars="200"/>
        <w:rPr>
          <w:sz w:val="28"/>
          <w:szCs w:val="28"/>
          <w:highlight w:val="none"/>
        </w:rPr>
      </w:pPr>
      <w:r>
        <w:rPr>
          <w:rFonts w:hint="eastAsia"/>
          <w:sz w:val="28"/>
          <w:szCs w:val="28"/>
          <w:highlight w:val="none"/>
        </w:rPr>
        <w:t>①、土地综合成本2076元/㎡。</w:t>
      </w:r>
    </w:p>
    <w:p>
      <w:pPr>
        <w:snapToGrid w:val="0"/>
        <w:spacing w:beforeLines="50" w:afterLines="50" w:line="360" w:lineRule="auto"/>
        <w:ind w:firstLine="560" w:firstLineChars="200"/>
        <w:rPr>
          <w:sz w:val="28"/>
          <w:szCs w:val="28"/>
          <w:highlight w:val="none"/>
        </w:rPr>
      </w:pPr>
      <w:r>
        <w:rPr>
          <w:rFonts w:hint="eastAsia"/>
          <w:sz w:val="28"/>
          <w:szCs w:val="28"/>
          <w:highlight w:val="none"/>
        </w:rPr>
        <w:t>②、建安成本（楼房主体）1450元/㎡。（公司采用“成本+系数”创新的成本管控方法。即在严控全部建筑材料成本的基础上，加百分之十的利润，对项目建设承包方作为决算依据，不参考相关部门发布的定额标准，不仅能极大的降低近20项建设成本的投入，还能够严防“跑、冒、滴、漏”）。</w:t>
      </w:r>
    </w:p>
    <w:p>
      <w:pPr>
        <w:snapToGrid w:val="0"/>
        <w:spacing w:beforeLines="50" w:afterLines="50" w:line="360" w:lineRule="auto"/>
        <w:ind w:firstLine="560" w:firstLineChars="200"/>
        <w:rPr>
          <w:sz w:val="28"/>
          <w:szCs w:val="28"/>
          <w:highlight w:val="none"/>
        </w:rPr>
      </w:pPr>
      <w:r>
        <w:rPr>
          <w:rFonts w:hint="eastAsia"/>
          <w:sz w:val="28"/>
          <w:szCs w:val="28"/>
          <w:highlight w:val="none"/>
        </w:rPr>
        <w:t>③、综合行政事业性收费120元/㎡。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④、税收380元/㎡。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⑤、项目综合配套250元/㎡。（涉及项目内的道路、绿化等，同建安成本的管控方法一样，故不多做赘述）。</w:t>
      </w:r>
    </w:p>
    <w:p>
      <w:pPr>
        <w:snapToGrid w:val="0"/>
        <w:spacing w:beforeLines="50" w:afterLines="50" w:line="360" w:lineRule="auto"/>
        <w:ind w:firstLine="560" w:firstLineChars="200"/>
        <w:rPr>
          <w:sz w:val="28"/>
          <w:szCs w:val="28"/>
          <w:highlight w:val="none"/>
        </w:rPr>
      </w:pPr>
      <w:r>
        <w:rPr>
          <w:rFonts w:hint="eastAsia"/>
          <w:sz w:val="28"/>
          <w:szCs w:val="28"/>
          <w:highlight w:val="none"/>
        </w:rPr>
        <w:t>⑥、不可预见费50元/㎡。</w:t>
      </w:r>
    </w:p>
    <w:p>
      <w:pPr>
        <w:snapToGrid w:val="0"/>
        <w:spacing w:beforeLines="50" w:afterLines="50" w:line="360" w:lineRule="auto"/>
        <w:ind w:firstLine="560" w:firstLineChars="200"/>
        <w:rPr>
          <w:sz w:val="28"/>
          <w:szCs w:val="28"/>
          <w:highlight w:val="none"/>
        </w:rPr>
      </w:pPr>
      <w:r>
        <w:rPr>
          <w:rFonts w:hint="eastAsia"/>
          <w:sz w:val="28"/>
          <w:szCs w:val="28"/>
          <w:highlight w:val="none"/>
        </w:rPr>
        <w:t>项目成本合计为4326元/㎡。根据项目规划涉及面积，项目总投资约为：792090万元（总建筑面积18.31万㎡x4326元/㎡）。</w:t>
      </w:r>
    </w:p>
    <w:p>
      <w:pPr>
        <w:snapToGrid w:val="0"/>
        <w:spacing w:beforeLines="50" w:afterLines="50" w:line="360" w:lineRule="auto"/>
        <w:ind w:firstLine="562" w:firstLineChars="200"/>
        <w:rPr>
          <w:b/>
          <w:sz w:val="28"/>
          <w:szCs w:val="28"/>
          <w:highlight w:val="none"/>
        </w:rPr>
      </w:pPr>
      <w:r>
        <w:rPr>
          <w:rFonts w:hint="eastAsia"/>
          <w:b/>
          <w:sz w:val="28"/>
          <w:szCs w:val="28"/>
          <w:highlight w:val="none"/>
        </w:rPr>
        <w:t>五、项目周边楼盘市场商品房的房价</w:t>
      </w:r>
    </w:p>
    <w:p>
      <w:pPr>
        <w:snapToGrid w:val="0"/>
        <w:spacing w:beforeLines="50" w:afterLines="50" w:line="360" w:lineRule="auto"/>
        <w:ind w:firstLine="560" w:firstLineChars="200"/>
        <w:rPr>
          <w:sz w:val="28"/>
          <w:szCs w:val="28"/>
          <w:highlight w:val="none"/>
        </w:rPr>
      </w:pPr>
      <w:r>
        <w:rPr>
          <w:rFonts w:hint="eastAsia"/>
          <w:sz w:val="28"/>
          <w:szCs w:val="28"/>
          <w:highlight w:val="none"/>
        </w:rPr>
        <w:t>项目北边三个楼盘分别是：空港花城（开发建设单位系新郑国际机场所属的房地产开发企业，央企。）建正紫阙（开发建设单位系许昌大正集团公司，民企。）洪河富贵（开发建设单位系河南腾飞集团公司，民企。）上述三个楼盘的房价。根据楼房设计标准不同价格差异很大。</w:t>
      </w:r>
    </w:p>
    <w:p>
      <w:pPr>
        <w:snapToGrid w:val="0"/>
        <w:spacing w:beforeLines="50" w:afterLines="50" w:line="360" w:lineRule="auto"/>
        <w:ind w:firstLine="560" w:firstLineChars="200"/>
        <w:rPr>
          <w:sz w:val="28"/>
          <w:szCs w:val="28"/>
          <w:highlight w:val="none"/>
        </w:rPr>
      </w:pPr>
      <w:r>
        <w:rPr>
          <w:rFonts w:hint="eastAsia"/>
          <w:sz w:val="28"/>
          <w:szCs w:val="28"/>
          <w:highlight w:val="none"/>
        </w:rPr>
        <w:t>①、25层以上，两梯3到4户住宅，售价为6500元/㎡左右。</w:t>
      </w:r>
    </w:p>
    <w:p>
      <w:pPr>
        <w:snapToGrid w:val="0"/>
        <w:spacing w:beforeLines="50" w:afterLines="50" w:line="360" w:lineRule="auto"/>
        <w:ind w:firstLine="560" w:firstLineChars="200"/>
        <w:rPr>
          <w:sz w:val="28"/>
          <w:szCs w:val="28"/>
          <w:highlight w:val="none"/>
        </w:rPr>
      </w:pPr>
      <w:r>
        <w:rPr>
          <w:rFonts w:hint="eastAsia"/>
          <w:sz w:val="28"/>
          <w:szCs w:val="28"/>
          <w:highlight w:val="none"/>
        </w:rPr>
        <w:t>②、15至18层住宅，售价为7500元/㎡左右。</w:t>
      </w:r>
    </w:p>
    <w:p>
      <w:pPr>
        <w:snapToGrid w:val="0"/>
        <w:spacing w:beforeLines="50" w:afterLines="50" w:line="360" w:lineRule="auto"/>
        <w:ind w:firstLine="560" w:firstLineChars="200"/>
        <w:rPr>
          <w:sz w:val="28"/>
          <w:szCs w:val="28"/>
          <w:highlight w:val="none"/>
        </w:rPr>
      </w:pPr>
      <w:r>
        <w:rPr>
          <w:rFonts w:hint="eastAsia"/>
          <w:sz w:val="28"/>
          <w:szCs w:val="28"/>
          <w:highlight w:val="none"/>
        </w:rPr>
        <w:t>③、11层小高层住宅，售价为8500元/㎡左右。</w:t>
      </w:r>
    </w:p>
    <w:p>
      <w:pPr>
        <w:snapToGrid w:val="0"/>
        <w:spacing w:beforeLines="50" w:afterLines="50" w:line="360" w:lineRule="auto"/>
        <w:ind w:firstLine="560" w:firstLineChars="200"/>
        <w:rPr>
          <w:sz w:val="28"/>
          <w:szCs w:val="28"/>
          <w:highlight w:val="none"/>
        </w:rPr>
      </w:pPr>
      <w:r>
        <w:rPr>
          <w:rFonts w:hint="eastAsia"/>
          <w:sz w:val="28"/>
          <w:szCs w:val="28"/>
          <w:highlight w:val="none"/>
        </w:rPr>
        <w:t>④、8至10层洋房，售价为10000至12000元/㎡左右。</w:t>
      </w:r>
    </w:p>
    <w:p>
      <w:pPr>
        <w:snapToGrid w:val="0"/>
        <w:spacing w:beforeLines="50" w:afterLines="50" w:line="360" w:lineRule="auto"/>
        <w:rPr>
          <w:sz w:val="28"/>
          <w:szCs w:val="28"/>
          <w:highlight w:val="none"/>
        </w:rPr>
      </w:pPr>
      <w:r>
        <w:rPr>
          <w:rFonts w:hint="eastAsia"/>
          <w:sz w:val="28"/>
          <w:szCs w:val="28"/>
          <w:highlight w:val="none"/>
        </w:rPr>
        <w:t>⑤、4到5层叠拼带院洋房，售价为15000至18000元/㎡左右。</w:t>
      </w:r>
    </w:p>
    <w:p>
      <w:pPr>
        <w:snapToGrid w:val="0"/>
        <w:spacing w:beforeLines="50" w:afterLines="50" w:line="360" w:lineRule="auto"/>
        <w:ind w:firstLine="562" w:firstLineChars="200"/>
        <w:rPr>
          <w:b/>
          <w:sz w:val="28"/>
          <w:szCs w:val="28"/>
          <w:highlight w:val="none"/>
        </w:rPr>
      </w:pPr>
      <w:r>
        <w:rPr>
          <w:rFonts w:hint="eastAsia"/>
          <w:b/>
          <w:sz w:val="28"/>
          <w:szCs w:val="28"/>
          <w:highlight w:val="none"/>
        </w:rPr>
        <w:t>六、项目不同产品（房屋）的售价</w:t>
      </w:r>
    </w:p>
    <w:p>
      <w:pPr>
        <w:snapToGrid w:val="0"/>
        <w:spacing w:beforeLines="50" w:afterLines="50" w:line="360" w:lineRule="auto"/>
        <w:ind w:firstLine="560" w:firstLineChars="200"/>
        <w:rPr>
          <w:sz w:val="28"/>
          <w:szCs w:val="28"/>
          <w:highlight w:val="none"/>
        </w:rPr>
      </w:pPr>
      <w:r>
        <w:rPr>
          <w:rFonts w:hint="eastAsia"/>
          <w:sz w:val="28"/>
          <w:szCs w:val="28"/>
          <w:highlight w:val="none"/>
        </w:rPr>
        <w:t xml:space="preserve">对项目产品（房屋）根据设计建筑标准不同，销售的价格不同，分述如下： </w:t>
      </w:r>
    </w:p>
    <w:p>
      <w:pPr>
        <w:snapToGrid w:val="0"/>
        <w:spacing w:beforeLines="50" w:afterLines="50" w:line="360" w:lineRule="auto"/>
        <w:ind w:firstLine="560" w:firstLineChars="200"/>
        <w:rPr>
          <w:sz w:val="28"/>
          <w:szCs w:val="28"/>
          <w:highlight w:val="none"/>
        </w:rPr>
      </w:pPr>
      <w:r>
        <w:rPr>
          <w:rFonts w:hint="eastAsia"/>
          <w:sz w:val="28"/>
          <w:szCs w:val="28"/>
          <w:highlight w:val="none"/>
        </w:rPr>
        <w:t>1、暂定售房价（均价）：</w:t>
      </w:r>
    </w:p>
    <w:p>
      <w:pPr>
        <w:snapToGrid w:val="0"/>
        <w:spacing w:beforeLines="50" w:afterLines="50" w:line="360" w:lineRule="auto"/>
        <w:ind w:firstLine="560" w:firstLineChars="200"/>
        <w:rPr>
          <w:sz w:val="28"/>
          <w:szCs w:val="28"/>
          <w:highlight w:val="none"/>
        </w:rPr>
      </w:pPr>
      <w:r>
        <w:rPr>
          <w:rFonts w:hint="eastAsia"/>
          <w:sz w:val="28"/>
          <w:szCs w:val="28"/>
          <w:highlight w:val="none"/>
        </w:rPr>
        <w:t>①、一层绿色庭院洋房7800元/㎡；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②、二、三层退台洋房6800元/㎡；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③、商业门店房6800元/㎡。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④、普通洋房，5580元/㎡。</w:t>
      </w:r>
    </w:p>
    <w:p>
      <w:pPr>
        <w:snapToGrid w:val="0"/>
        <w:spacing w:beforeLines="50" w:afterLines="50" w:line="360" w:lineRule="auto"/>
        <w:ind w:firstLine="560" w:firstLineChars="200"/>
        <w:rPr>
          <w:sz w:val="28"/>
          <w:szCs w:val="28"/>
          <w:highlight w:val="none"/>
        </w:rPr>
      </w:pPr>
      <w:r>
        <w:rPr>
          <w:rFonts w:hint="eastAsia"/>
          <w:sz w:val="28"/>
          <w:szCs w:val="28"/>
          <w:highlight w:val="none"/>
        </w:rPr>
        <w:t>⑤、地下停车位，79000元/个。</w:t>
      </w:r>
    </w:p>
    <w:p>
      <w:pPr>
        <w:snapToGrid w:val="0"/>
        <w:spacing w:beforeLines="50" w:afterLines="50" w:line="360" w:lineRule="auto"/>
        <w:ind w:firstLine="560" w:firstLineChars="200"/>
        <w:rPr>
          <w:sz w:val="28"/>
          <w:szCs w:val="28"/>
          <w:highlight w:val="none"/>
        </w:rPr>
      </w:pPr>
      <w:r>
        <w:rPr>
          <w:rFonts w:hint="eastAsia"/>
          <w:sz w:val="28"/>
          <w:szCs w:val="28"/>
          <w:highlight w:val="none"/>
        </w:rPr>
        <w:t>⑥、幼儿园5600元/㎡。</w:t>
      </w:r>
    </w:p>
    <w:p>
      <w:pPr>
        <w:snapToGrid w:val="0"/>
        <w:spacing w:beforeLines="50" w:afterLines="50" w:line="360" w:lineRule="auto"/>
        <w:ind w:firstLine="560" w:firstLineChars="200"/>
        <w:rPr>
          <w:sz w:val="28"/>
          <w:szCs w:val="28"/>
          <w:highlight w:val="none"/>
        </w:rPr>
      </w:pPr>
      <w:r>
        <w:rPr>
          <w:rFonts w:hint="eastAsia"/>
          <w:sz w:val="28"/>
          <w:szCs w:val="28"/>
          <w:highlight w:val="none"/>
        </w:rPr>
        <w:t>2、分项收入及利润匡算</w:t>
      </w:r>
    </w:p>
    <w:p>
      <w:pPr>
        <w:snapToGrid w:val="0"/>
        <w:spacing w:beforeLines="50" w:afterLines="50" w:line="360" w:lineRule="auto"/>
        <w:ind w:firstLine="560" w:firstLineChars="200"/>
        <w:rPr>
          <w:sz w:val="28"/>
          <w:szCs w:val="28"/>
          <w:highlight w:val="none"/>
        </w:rPr>
      </w:pPr>
      <w:r>
        <w:rPr>
          <w:rFonts w:hint="eastAsia"/>
          <w:sz w:val="28"/>
          <w:szCs w:val="28"/>
          <w:highlight w:val="none"/>
        </w:rPr>
        <w:t>①、一层绿色庭院洋房：19683㎡x（7800元/㎡-4326/㎡）=6838万元（其中，销售收入约为约1.5353亿元）；</w:t>
      </w:r>
    </w:p>
    <w:p>
      <w:pPr>
        <w:snapToGrid w:val="0"/>
        <w:spacing w:beforeLines="50" w:afterLines="50" w:line="360" w:lineRule="auto"/>
        <w:ind w:firstLine="560" w:firstLineChars="200"/>
        <w:rPr>
          <w:sz w:val="28"/>
          <w:szCs w:val="28"/>
          <w:highlight w:val="none"/>
        </w:rPr>
      </w:pPr>
      <w:r>
        <w:rPr>
          <w:rFonts w:hint="eastAsia"/>
          <w:sz w:val="28"/>
          <w:szCs w:val="28"/>
          <w:highlight w:val="none"/>
        </w:rPr>
        <w:t>②、二、三层退台洋房：393660㎡x（6800元/㎡-4326/㎡）=9739万元（其中，销售收入约为2.6769亿元）。</w:t>
      </w:r>
    </w:p>
    <w:p>
      <w:pPr>
        <w:snapToGrid w:val="0"/>
        <w:spacing w:beforeLines="50" w:afterLines="50" w:line="360" w:lineRule="auto"/>
        <w:ind w:firstLine="560" w:firstLineChars="200"/>
        <w:rPr>
          <w:sz w:val="28"/>
          <w:szCs w:val="28"/>
          <w:highlight w:val="none"/>
        </w:rPr>
      </w:pPr>
      <w:r>
        <w:rPr>
          <w:rFonts w:hint="eastAsia"/>
          <w:sz w:val="28"/>
          <w:szCs w:val="28"/>
          <w:highlight w:val="none"/>
        </w:rPr>
        <w:t>③、商业门店房：8000㎡x（6800元/㎡-4326元/㎡）=1719万元（其中，销售收入约为5440万元）。</w:t>
      </w:r>
    </w:p>
    <w:p>
      <w:pPr>
        <w:snapToGrid w:val="0"/>
        <w:spacing w:beforeLines="50" w:afterLines="50" w:line="360" w:lineRule="auto"/>
        <w:ind w:firstLine="560" w:firstLineChars="200"/>
        <w:rPr>
          <w:sz w:val="28"/>
          <w:szCs w:val="28"/>
          <w:highlight w:val="none"/>
        </w:rPr>
      </w:pPr>
      <w:r>
        <w:rPr>
          <w:rFonts w:hint="eastAsia"/>
          <w:sz w:val="28"/>
          <w:szCs w:val="28"/>
          <w:highlight w:val="none"/>
        </w:rPr>
        <w:t>④、普通洋房：110101㎡×（5580元/㎡-4326元/㎡）=13807万元（其中，销售收入约为6.1436亿元）。</w:t>
      </w:r>
    </w:p>
    <w:p>
      <w:pPr>
        <w:snapToGrid w:val="0"/>
        <w:spacing w:beforeLines="50" w:afterLines="50" w:line="360" w:lineRule="auto"/>
        <w:ind w:firstLine="560" w:firstLineChars="200"/>
        <w:rPr>
          <w:sz w:val="28"/>
          <w:szCs w:val="28"/>
          <w:highlight w:val="none"/>
        </w:rPr>
      </w:pPr>
      <w:r>
        <w:rPr>
          <w:rFonts w:hint="eastAsia"/>
          <w:sz w:val="28"/>
          <w:szCs w:val="28"/>
          <w:highlight w:val="none"/>
        </w:rPr>
        <w:t>⑤、幼儿园：4100㎡x（5600元/㎡-4326元/㎡）=520万元（其中，销售收入约为2296万元）。</w:t>
      </w:r>
    </w:p>
    <w:p>
      <w:pPr>
        <w:snapToGrid w:val="0"/>
        <w:spacing w:beforeLines="50" w:afterLines="50" w:line="360" w:lineRule="auto"/>
        <w:ind w:firstLine="560" w:firstLineChars="200"/>
        <w:rPr>
          <w:sz w:val="28"/>
          <w:szCs w:val="28"/>
          <w:highlight w:val="none"/>
        </w:rPr>
      </w:pPr>
      <w:r>
        <w:rPr>
          <w:rFonts w:hint="eastAsia"/>
          <w:sz w:val="28"/>
          <w:szCs w:val="28"/>
          <w:highlight w:val="none"/>
        </w:rPr>
        <w:t>⑥、地下停车位：1740个X（79000元/个—65995元/个）=2262万元（其中，销售收入约为1.3746亿元）</w:t>
      </w:r>
    </w:p>
    <w:p>
      <w:pPr>
        <w:snapToGrid w:val="0"/>
        <w:spacing w:beforeLines="50" w:afterLines="50" w:line="360" w:lineRule="auto"/>
        <w:ind w:firstLine="560" w:firstLineChars="200"/>
        <w:rPr>
          <w:sz w:val="28"/>
          <w:szCs w:val="28"/>
          <w:highlight w:val="none"/>
        </w:rPr>
      </w:pPr>
      <w:r>
        <w:rPr>
          <w:rFonts w:hint="eastAsia"/>
          <w:sz w:val="28"/>
          <w:szCs w:val="28"/>
          <w:highlight w:val="none"/>
        </w:rPr>
        <w:t>⑦、土地增值税退税。（按照国家税法有关规定市场商品房单套建筑面积不超过144㎡，且企业盈利符合规定，1.5%的土地增值税可以先交后退）约能够退税1700万元左右。</w:t>
      </w:r>
    </w:p>
    <w:p>
      <w:pPr>
        <w:snapToGrid w:val="0"/>
        <w:spacing w:beforeLines="50" w:afterLines="50" w:line="360" w:lineRule="auto"/>
        <w:ind w:firstLine="560" w:firstLineChars="200"/>
        <w:rPr>
          <w:sz w:val="28"/>
          <w:szCs w:val="28"/>
          <w:highlight w:val="none"/>
        </w:rPr>
      </w:pPr>
      <w:r>
        <w:rPr>
          <w:rFonts w:hint="eastAsia"/>
          <w:sz w:val="28"/>
          <w:szCs w:val="28"/>
          <w:highlight w:val="none"/>
        </w:rPr>
        <w:t>⑧、项目启动后，公司用于项目的综合管理人员35人，人均工资及社保等费用每人每月约为6000元，年工资福利支出为252万元。公司每年各种费用支出为250万元，项目2年全部完成，2年中公司的工资费用累计支出为1040万元。</w:t>
      </w:r>
    </w:p>
    <w:p>
      <w:pPr>
        <w:snapToGrid w:val="0"/>
        <w:spacing w:beforeLines="50" w:afterLines="50" w:line="360" w:lineRule="auto"/>
        <w:ind w:firstLine="560" w:firstLineChars="200"/>
        <w:rPr>
          <w:sz w:val="28"/>
          <w:szCs w:val="28"/>
          <w:highlight w:val="none"/>
        </w:rPr>
      </w:pPr>
      <w:r>
        <w:rPr>
          <w:rFonts w:hint="eastAsia"/>
          <w:sz w:val="28"/>
          <w:szCs w:val="28"/>
          <w:highlight w:val="none"/>
        </w:rPr>
        <w:t>以上合计：项目销售收入约为13.1亿元，预计毛利润可达36845万元。项目毛利润减去公司及财务费用后，项目可实现净利润约35805万元。</w:t>
      </w:r>
    </w:p>
    <w:p>
      <w:pPr>
        <w:snapToGrid w:val="0"/>
        <w:spacing w:beforeLines="50" w:afterLines="50" w:line="360" w:lineRule="auto"/>
        <w:ind w:firstLine="560" w:firstLineChars="200"/>
        <w:rPr>
          <w:sz w:val="28"/>
          <w:szCs w:val="28"/>
          <w:highlight w:val="none"/>
        </w:rPr>
      </w:pPr>
      <w:r>
        <w:rPr>
          <w:rFonts w:hint="eastAsia"/>
          <w:sz w:val="28"/>
          <w:szCs w:val="28"/>
          <w:highlight w:val="none"/>
        </w:rPr>
        <w:t>因本项目位置好，成交的土地价格低，每亩仅221.4万元，实现利润有充分的保证。</w:t>
      </w:r>
    </w:p>
    <w:p>
      <w:pPr>
        <w:snapToGrid w:val="0"/>
        <w:spacing w:beforeLines="50" w:afterLines="50" w:line="360" w:lineRule="auto"/>
        <w:ind w:firstLine="560"/>
        <w:rPr>
          <w:b/>
          <w:sz w:val="28"/>
          <w:szCs w:val="28"/>
          <w:highlight w:val="none"/>
        </w:rPr>
      </w:pPr>
      <w:r>
        <w:rPr>
          <w:rFonts w:hint="eastAsia"/>
          <w:b/>
          <w:sz w:val="28"/>
          <w:szCs w:val="28"/>
          <w:highlight w:val="none"/>
        </w:rPr>
        <w:t>七、项目的建设及交付时限</w:t>
      </w:r>
    </w:p>
    <w:p>
      <w:pPr>
        <w:snapToGrid w:val="0"/>
        <w:spacing w:beforeLines="50" w:afterLines="50" w:line="360" w:lineRule="auto"/>
        <w:ind w:firstLine="560"/>
        <w:rPr>
          <w:sz w:val="28"/>
          <w:szCs w:val="28"/>
          <w:highlight w:val="none"/>
        </w:rPr>
      </w:pPr>
      <w:r>
        <w:rPr>
          <w:rFonts w:hint="eastAsia"/>
          <w:sz w:val="28"/>
          <w:szCs w:val="28"/>
          <w:highlight w:val="none"/>
        </w:rPr>
        <w:t>项目的两块宗地同期建设，计划在投资方3亿元融资到位后，正式启动“锦程悦府”项目，D58-2#地块，称为锦程悦府A区；D58-3#地块，称为锦程悦府B区。</w:t>
      </w:r>
    </w:p>
    <w:p>
      <w:pPr>
        <w:snapToGrid w:val="0"/>
        <w:spacing w:beforeLines="50" w:afterLines="50" w:line="360" w:lineRule="auto"/>
        <w:ind w:firstLine="560"/>
        <w:rPr>
          <w:sz w:val="28"/>
          <w:szCs w:val="28"/>
          <w:highlight w:val="none"/>
        </w:rPr>
      </w:pPr>
      <w:r>
        <w:rPr>
          <w:rFonts w:hint="eastAsia"/>
          <w:sz w:val="28"/>
          <w:szCs w:val="28"/>
          <w:highlight w:val="none"/>
        </w:rPr>
        <w:t>项目地下与地上主体工程施工的工期计划为一年，时间安排分别为：</w:t>
      </w:r>
    </w:p>
    <w:p>
      <w:pPr>
        <w:snapToGrid w:val="0"/>
        <w:spacing w:beforeLines="50" w:afterLines="50" w:line="360" w:lineRule="auto"/>
        <w:ind w:firstLine="560" w:firstLineChars="200"/>
        <w:rPr>
          <w:sz w:val="28"/>
          <w:szCs w:val="28"/>
          <w:highlight w:val="none"/>
        </w:rPr>
      </w:pPr>
      <w:r>
        <w:rPr>
          <w:rFonts w:hint="eastAsia"/>
          <w:sz w:val="28"/>
          <w:szCs w:val="28"/>
          <w:highlight w:val="none"/>
        </w:rPr>
        <w:t>①、项目计划从2020年10月启动至2021年9月主体竣工；</w:t>
      </w:r>
    </w:p>
    <w:p>
      <w:pPr>
        <w:snapToGrid w:val="0"/>
        <w:spacing w:beforeLines="50" w:afterLines="50" w:line="360" w:lineRule="auto"/>
        <w:ind w:firstLine="560" w:firstLineChars="200"/>
        <w:rPr>
          <w:sz w:val="28"/>
          <w:szCs w:val="28"/>
          <w:highlight w:val="none"/>
        </w:rPr>
      </w:pPr>
      <w:r>
        <w:rPr>
          <w:rFonts w:hint="eastAsia"/>
          <w:sz w:val="28"/>
          <w:szCs w:val="28"/>
          <w:highlight w:val="none"/>
        </w:rPr>
        <w:t>②、项目的综合配套（小区内的道路、绿化、消防及强弱电安装、水气管道等设施全部在2022年3月31日前完成，）2022年6月30日前正式向锦程悦府全体业主交付使用。从项目的启动到项目全部交付使用，周期约为1年9个月。</w:t>
      </w:r>
    </w:p>
    <w:p>
      <w:pPr>
        <w:snapToGrid w:val="0"/>
        <w:spacing w:beforeLines="50" w:afterLines="50" w:line="360" w:lineRule="auto"/>
        <w:ind w:firstLine="562" w:firstLineChars="200"/>
        <w:rPr>
          <w:b/>
          <w:sz w:val="28"/>
          <w:szCs w:val="28"/>
          <w:highlight w:val="none"/>
        </w:rPr>
      </w:pPr>
      <w:r>
        <w:rPr>
          <w:rFonts w:hint="eastAsia"/>
          <w:b/>
          <w:sz w:val="28"/>
          <w:szCs w:val="28"/>
          <w:highlight w:val="none"/>
        </w:rPr>
        <w:t>八、主流媒体及专家学者的高度关注</w:t>
      </w:r>
    </w:p>
    <w:p>
      <w:pPr>
        <w:snapToGrid w:val="0"/>
        <w:spacing w:beforeLines="50" w:afterLines="50" w:line="360" w:lineRule="auto"/>
        <w:ind w:firstLine="560" w:firstLineChars="200"/>
        <w:rPr>
          <w:rFonts w:cs="宋体" w:asciiTheme="minorEastAsia" w:hAnsiTheme="minorEastAsia"/>
          <w:sz w:val="28"/>
          <w:szCs w:val="28"/>
          <w:highlight w:val="none"/>
        </w:rPr>
      </w:pPr>
      <w:r>
        <w:rPr>
          <w:rFonts w:hint="eastAsia"/>
          <w:sz w:val="28"/>
          <w:szCs w:val="28"/>
          <w:highlight w:val="none"/>
        </w:rPr>
        <w:t>由于许昌宏德置业有限公司系专门为开发建设“锦程悦府”项目而成立，虽项目暂未启动未有业绩，但是</w:t>
      </w:r>
      <w:r>
        <w:rPr>
          <w:rFonts w:hint="eastAsia"/>
          <w:sz w:val="28"/>
          <w:szCs w:val="28"/>
          <w:highlight w:val="none"/>
        </w:rPr>
        <w:t>宏德置业有限公司前身——许昌市惠民房地产开发有限公司</w:t>
      </w:r>
      <w:r>
        <w:rPr>
          <w:rFonts w:hint="eastAsia" w:cs="宋体" w:asciiTheme="minorEastAsia" w:hAnsiTheme="minorEastAsia"/>
          <w:sz w:val="28"/>
          <w:szCs w:val="28"/>
          <w:highlight w:val="none"/>
        </w:rPr>
        <w:t>运用在国内独家创新的“双公司市场化个人委托代理建房”模式（简称“委托代建”）在许昌已成功开发建设了三个楼盘</w:t>
      </w:r>
      <w:r>
        <w:rPr>
          <w:rFonts w:hint="eastAsia" w:cs="宋体" w:asciiTheme="minorEastAsia" w:hAnsiTheme="minorEastAsia"/>
          <w:sz w:val="28"/>
          <w:szCs w:val="28"/>
          <w:highlight w:val="none"/>
        </w:rPr>
        <w:t>，并综合运用其“三个创新”（开发建设模式创新、机制创新和管理创新）和精细化成本管控，大大降低了开发建设成本，已经开发建设的三个楼盘，其市场售价分别比目前传统开发企业每平方米低约35—42.5%。由于公司开发建设的楼盘质量好、价格低、交房及时，不仅深受社会各界买房人的欢迎，在广大客户中享有较高的诚信度和影响力，而且还引起了国内一部分专家、学者，尤其是一百多家媒体的高度关注，其中，新华社记者采访文稿编发在《内参清样》后，李克强总理曾做过批示，原住建部、国土部均派专家到公司做过调研。该模式的创始人公司董事长杨金成还应邀参加了2016年9月在天津召开的夏季达沃斯地产论坛，并在论坛上作了发言，惠民公司在本论坛上分别被授予“2016中国最具创新力地产企业”，公司董事长杨金成获“2016中国最具创新力地产人物”的殊荣。2017年12月28日，在人民日报社主办的中国民生发展论坛上，公司董事长不仅应邀在本论坛主席台上参加了圆桌对话，公司在本论坛获“民生示范工程”的殊荣，成为全国唯一获此殊荣的地产企业。“锦程悦府”项目虽暂未启动，已经再次引起了国内一些主流媒体的极大关注，表示将在该项目启动时继续跟踪报道，进一步做深入宣传。</w:t>
      </w:r>
    </w:p>
    <w:p>
      <w:pPr>
        <w:snapToGrid w:val="0"/>
        <w:spacing w:beforeLines="50" w:afterLines="50" w:line="360" w:lineRule="auto"/>
        <w:ind w:firstLine="562" w:firstLineChars="200"/>
        <w:rPr>
          <w:rFonts w:cs="宋体" w:asciiTheme="minorEastAsia" w:hAnsiTheme="minorEastAsia"/>
          <w:b/>
          <w:sz w:val="28"/>
          <w:szCs w:val="28"/>
          <w:highlight w:val="none"/>
        </w:rPr>
      </w:pPr>
      <w:r>
        <w:rPr>
          <w:rFonts w:hint="eastAsia" w:cs="宋体" w:asciiTheme="minorEastAsia" w:hAnsiTheme="minorEastAsia"/>
          <w:b/>
          <w:sz w:val="28"/>
          <w:szCs w:val="28"/>
          <w:highlight w:val="none"/>
        </w:rPr>
        <w:t>九、</w:t>
      </w:r>
      <w:r>
        <w:rPr>
          <w:rFonts w:hint="eastAsia" w:cs="宋体" w:asciiTheme="minorEastAsia" w:hAnsiTheme="minorEastAsia"/>
          <w:b/>
          <w:sz w:val="28"/>
          <w:szCs w:val="28"/>
          <w:highlight w:val="none"/>
        </w:rPr>
        <w:t>公司至今无银行贷款、无社会融资、无拖欠民工工资、无拖欠工程款，做到了零负债，完全轻资产。</w:t>
      </w:r>
    </w:p>
    <w:p>
      <w:pPr>
        <w:snapToGrid w:val="0"/>
        <w:spacing w:beforeLines="50" w:afterLines="50" w:line="360" w:lineRule="auto"/>
        <w:ind w:firstLine="560" w:firstLineChars="200"/>
        <w:rPr>
          <w:rFonts w:cs="宋体" w:asciiTheme="minorEastAsia" w:hAnsiTheme="minorEastAsia"/>
          <w:sz w:val="28"/>
          <w:szCs w:val="28"/>
          <w:highlight w:val="none"/>
        </w:rPr>
      </w:pPr>
      <w:r>
        <w:rPr>
          <w:rFonts w:hint="eastAsia" w:cs="宋体" w:asciiTheme="minorEastAsia" w:hAnsiTheme="minorEastAsia"/>
          <w:sz w:val="28"/>
          <w:szCs w:val="28"/>
          <w:highlight w:val="none"/>
        </w:rPr>
        <w:t>除此之外，公司在营销、宣传等环节上，做到了无宣传广告费、不设售楼部、不请中介公司帮忙销售等，在成本管控上大大降低了投资成本。</w:t>
      </w:r>
    </w:p>
    <w:p>
      <w:pPr>
        <w:snapToGrid w:val="0"/>
        <w:spacing w:beforeLines="50" w:afterLines="50" w:line="360" w:lineRule="auto"/>
        <w:ind w:firstLine="562" w:firstLineChars="200"/>
        <w:rPr>
          <w:rFonts w:hint="eastAsia" w:cs="宋体" w:asciiTheme="minorEastAsia" w:hAnsiTheme="minorEastAsia"/>
          <w:sz w:val="28"/>
          <w:szCs w:val="28"/>
          <w:highlight w:val="none"/>
        </w:rPr>
      </w:pPr>
      <w:r>
        <w:rPr>
          <w:rFonts w:hint="eastAsia" w:cs="宋体" w:asciiTheme="minorEastAsia" w:hAnsiTheme="minorEastAsia"/>
          <w:b/>
          <w:sz w:val="28"/>
          <w:szCs w:val="28"/>
          <w:highlight w:val="none"/>
        </w:rPr>
        <w:t>十、</w:t>
      </w:r>
      <w:r>
        <w:rPr>
          <w:rFonts w:hint="eastAsia" w:cs="宋体" w:asciiTheme="minorEastAsia" w:hAnsiTheme="minorEastAsia"/>
          <w:b/>
          <w:sz w:val="28"/>
          <w:szCs w:val="28"/>
          <w:highlight w:val="none"/>
        </w:rPr>
        <w:t>本项目计划融资3亿元人民币</w:t>
      </w:r>
    </w:p>
    <w:p>
      <w:pPr>
        <w:snapToGrid w:val="0"/>
        <w:spacing w:beforeLines="50" w:afterLines="50" w:line="360" w:lineRule="auto"/>
        <w:ind w:firstLine="560" w:firstLineChars="200"/>
        <w:rPr>
          <w:rFonts w:hint="eastAsia" w:cs="宋体" w:asciiTheme="minorEastAsia" w:hAnsiTheme="minorEastAsia"/>
          <w:sz w:val="28"/>
          <w:szCs w:val="28"/>
          <w:highlight w:val="none"/>
        </w:rPr>
      </w:pPr>
      <w:r>
        <w:rPr>
          <w:rFonts w:hint="eastAsia" w:cs="宋体" w:asciiTheme="minorEastAsia" w:hAnsiTheme="minorEastAsia"/>
          <w:sz w:val="28"/>
          <w:szCs w:val="28"/>
          <w:highlight w:val="none"/>
        </w:rPr>
        <w:t>主要用途用于补交后续土地出让金、土地契税等（详见融资使用计划报告书）。</w:t>
      </w:r>
    </w:p>
    <w:p>
      <w:pPr>
        <w:snapToGrid w:val="0"/>
        <w:spacing w:beforeLines="50" w:afterLines="50" w:line="360" w:lineRule="auto"/>
        <w:ind w:firstLine="562" w:firstLineChars="200"/>
        <w:rPr>
          <w:rFonts w:cs="宋体" w:asciiTheme="minorEastAsia" w:hAnsiTheme="minorEastAsia"/>
          <w:b/>
          <w:sz w:val="28"/>
          <w:szCs w:val="28"/>
          <w:highlight w:val="none"/>
        </w:rPr>
      </w:pPr>
      <w:r>
        <w:rPr>
          <w:rFonts w:hint="eastAsia" w:cs="宋体" w:asciiTheme="minorEastAsia" w:hAnsiTheme="minorEastAsia"/>
          <w:b/>
          <w:sz w:val="28"/>
          <w:szCs w:val="28"/>
          <w:highlight w:val="none"/>
        </w:rPr>
        <w:t>十一、融资时间及还本付息</w:t>
      </w:r>
    </w:p>
    <w:p>
      <w:pPr>
        <w:snapToGrid w:val="0"/>
        <w:spacing w:beforeLines="50" w:afterLines="50" w:line="360" w:lineRule="auto"/>
        <w:ind w:firstLine="560"/>
        <w:rPr>
          <w:rFonts w:cs="宋体" w:asciiTheme="minorEastAsia" w:hAnsiTheme="minorEastAsia"/>
          <w:sz w:val="28"/>
          <w:szCs w:val="28"/>
          <w:highlight w:val="none"/>
        </w:rPr>
      </w:pPr>
      <w:r>
        <w:rPr>
          <w:rFonts w:hint="eastAsia" w:cs="宋体" w:asciiTheme="minorEastAsia" w:hAnsiTheme="minorEastAsia"/>
          <w:sz w:val="28"/>
          <w:szCs w:val="28"/>
          <w:highlight w:val="none"/>
        </w:rPr>
        <w:t>①、</w:t>
      </w:r>
      <w:r>
        <w:rPr>
          <w:rFonts w:hint="eastAsia" w:cs="宋体" w:asciiTheme="minorEastAsia" w:hAnsiTheme="minorEastAsia"/>
          <w:sz w:val="28"/>
          <w:szCs w:val="28"/>
          <w:highlight w:val="none"/>
        </w:rPr>
        <w:t>本项目3亿的融资时间计划为12个月外加12个月。</w:t>
      </w:r>
    </w:p>
    <w:p>
      <w:pPr>
        <w:snapToGrid w:val="0"/>
        <w:spacing w:beforeLines="50" w:afterLines="50" w:line="360" w:lineRule="auto"/>
        <w:ind w:firstLine="560"/>
        <w:rPr>
          <w:rFonts w:cs="宋体" w:asciiTheme="minorEastAsia" w:hAnsiTheme="minorEastAsia"/>
          <w:sz w:val="28"/>
          <w:szCs w:val="28"/>
          <w:highlight w:val="none"/>
        </w:rPr>
      </w:pPr>
      <w:r>
        <w:rPr>
          <w:rFonts w:hint="eastAsia" w:cs="宋体" w:asciiTheme="minorEastAsia" w:hAnsiTheme="minorEastAsia"/>
          <w:sz w:val="28"/>
          <w:szCs w:val="28"/>
          <w:highlight w:val="none"/>
        </w:rPr>
        <w:t>②、我公司将从本项目销售收入约为或实现利润中归还融资本息。由于我公司用“委托代建”住房模式开发建设的住房价格低于传统房地产企业35%左右，且质量好，建设速度快，交房及时，因此，客户资源多，销得快，资金回笼快，加之建设单位与我公司系友好业务合作伙伴，承诺在建设过程中假如我公司资金出现暂时困难时不停工。因此，无论客户资源、工程建设的质量和建设周期均有充分的保证。这些基本条件的综合构成，能够确保在融资期限内依照双方签订的融资合同约定的期限按期或提前归还投资方融资本金和利息。</w:t>
      </w:r>
    </w:p>
    <w:p>
      <w:pPr>
        <w:snapToGrid w:val="0"/>
        <w:spacing w:beforeLines="50" w:afterLines="50" w:line="360" w:lineRule="auto"/>
        <w:ind w:firstLine="560"/>
        <w:rPr>
          <w:rFonts w:cs="宋体" w:asciiTheme="minorEastAsia" w:hAnsiTheme="minorEastAsia"/>
          <w:sz w:val="28"/>
          <w:szCs w:val="28"/>
          <w:highlight w:val="none"/>
        </w:rPr>
      </w:pPr>
      <w:r>
        <w:rPr>
          <w:rFonts w:hint="eastAsia" w:cs="宋体" w:asciiTheme="minorEastAsia" w:hAnsiTheme="minorEastAsia"/>
          <w:sz w:val="28"/>
          <w:szCs w:val="28"/>
          <w:highlight w:val="none"/>
        </w:rPr>
        <w:t>③、</w:t>
      </w:r>
      <w:r>
        <w:rPr>
          <w:rFonts w:hint="eastAsia" w:cs="宋体" w:asciiTheme="minorEastAsia" w:hAnsiTheme="minorEastAsia"/>
          <w:sz w:val="28"/>
          <w:szCs w:val="28"/>
          <w:highlight w:val="none"/>
        </w:rPr>
        <w:t>为规避投资方风险，许昌宏德置业有限公司同意将100%股权在借款使用期间质押给投资方管控。并通过投资方派人直接参与本项目财务管理，监管本项目资金的用途，确保项目资金专户储存，专款专用，从而杜绝投资方的资金风险。</w:t>
      </w:r>
    </w:p>
    <w:p>
      <w:pPr>
        <w:snapToGrid w:val="0"/>
        <w:spacing w:beforeLines="50" w:afterLines="50" w:line="360" w:lineRule="auto"/>
        <w:ind w:firstLine="560" w:firstLineChars="200"/>
        <w:rPr>
          <w:rFonts w:cs="宋体" w:asciiTheme="minorEastAsia" w:hAnsiTheme="minorEastAsia"/>
          <w:sz w:val="28"/>
          <w:szCs w:val="28"/>
          <w:highlight w:val="none"/>
        </w:rPr>
      </w:pPr>
      <w:r>
        <w:rPr>
          <w:rFonts w:hint="eastAsia" w:cs="宋体" w:asciiTheme="minorEastAsia" w:hAnsiTheme="minorEastAsia"/>
          <w:sz w:val="28"/>
          <w:szCs w:val="28"/>
          <w:highlight w:val="none"/>
        </w:rPr>
        <w:t>该项目系许昌市近10年来不可多得的一个舒适、宜居、高质、低价全部由多层洋房组成的高端住</w:t>
      </w:r>
      <w:bookmarkStart w:id="0" w:name="_GoBack"/>
      <w:bookmarkEnd w:id="0"/>
      <w:r>
        <w:rPr>
          <w:rFonts w:hint="eastAsia" w:cs="宋体" w:asciiTheme="minorEastAsia" w:hAnsiTheme="minorEastAsia"/>
          <w:sz w:val="28"/>
          <w:szCs w:val="28"/>
          <w:highlight w:val="none"/>
        </w:rPr>
        <w:t>宅小区，且房价比周边两公里左右的楼盘同价比每平米低约35%以上，因此，本项目正式启动后，客户资源广，回款速度快，建设周期短，经济效益好，还款有保障，安全无风险，能够确保我公司融资还款万无一失，完全避免投资方和监管方的资金风险。</w:t>
      </w:r>
    </w:p>
    <w:p>
      <w:pPr>
        <w:snapToGrid w:val="0"/>
        <w:spacing w:beforeLines="50" w:afterLines="50" w:line="360" w:lineRule="auto"/>
        <w:ind w:firstLine="560" w:firstLineChars="200"/>
        <w:rPr>
          <w:rFonts w:cs="宋体" w:asciiTheme="minorEastAsia" w:hAnsiTheme="minorEastAsia"/>
          <w:sz w:val="28"/>
          <w:szCs w:val="28"/>
          <w:highlight w:val="none"/>
        </w:rPr>
      </w:pPr>
    </w:p>
    <w:p>
      <w:pPr>
        <w:snapToGrid w:val="0"/>
        <w:spacing w:beforeLines="50" w:afterLines="50" w:line="360" w:lineRule="auto"/>
        <w:ind w:firstLine="560" w:firstLineChars="200"/>
        <w:jc w:val="right"/>
        <w:rPr>
          <w:rFonts w:hint="eastAsia" w:cs="宋体" w:asciiTheme="minorEastAsia" w:hAnsiTheme="minorEastAsia"/>
          <w:sz w:val="28"/>
          <w:szCs w:val="28"/>
          <w:highlight w:val="none"/>
        </w:rPr>
      </w:pPr>
    </w:p>
    <w:p>
      <w:pPr>
        <w:snapToGrid w:val="0"/>
        <w:spacing w:beforeLines="50" w:afterLines="50" w:line="360" w:lineRule="auto"/>
        <w:ind w:firstLine="560" w:firstLineChars="200"/>
        <w:jc w:val="right"/>
        <w:rPr>
          <w:rFonts w:hint="eastAsia" w:cs="宋体" w:asciiTheme="minorEastAsia" w:hAnsiTheme="minorEastAsia"/>
          <w:sz w:val="28"/>
          <w:szCs w:val="28"/>
          <w:highlight w:val="none"/>
        </w:rPr>
      </w:pPr>
    </w:p>
    <w:p>
      <w:pPr>
        <w:snapToGrid w:val="0"/>
        <w:spacing w:beforeLines="50" w:afterLines="50" w:line="360" w:lineRule="auto"/>
        <w:ind w:firstLine="560" w:firstLineChars="200"/>
        <w:jc w:val="right"/>
        <w:rPr>
          <w:rFonts w:hint="eastAsia" w:cs="宋体" w:asciiTheme="minorEastAsia" w:hAnsiTheme="minorEastAsia"/>
          <w:sz w:val="28"/>
          <w:szCs w:val="28"/>
          <w:highlight w:val="none"/>
        </w:rPr>
      </w:pPr>
    </w:p>
    <w:p>
      <w:pPr>
        <w:snapToGrid w:val="0"/>
        <w:spacing w:beforeLines="50" w:afterLines="50" w:line="360" w:lineRule="auto"/>
        <w:ind w:right="560"/>
        <w:rPr>
          <w:rFonts w:hint="eastAsia" w:cs="宋体" w:asciiTheme="minorEastAsia" w:hAnsiTheme="minorEastAsia"/>
          <w:sz w:val="28"/>
          <w:szCs w:val="28"/>
          <w:highlight w:val="none"/>
        </w:rPr>
      </w:pPr>
    </w:p>
    <w:p>
      <w:pPr>
        <w:snapToGrid w:val="0"/>
        <w:spacing w:beforeLines="50" w:afterLines="50" w:line="360" w:lineRule="auto"/>
        <w:ind w:firstLine="560" w:firstLineChars="200"/>
        <w:jc w:val="right"/>
        <w:rPr>
          <w:rFonts w:hint="eastAsia" w:cs="宋体" w:asciiTheme="minorEastAsia" w:hAnsiTheme="minorEastAsia"/>
          <w:sz w:val="28"/>
          <w:szCs w:val="28"/>
          <w:highlight w:val="none"/>
        </w:rPr>
      </w:pPr>
    </w:p>
    <w:p>
      <w:pPr>
        <w:wordWrap w:val="0"/>
        <w:snapToGrid w:val="0"/>
        <w:spacing w:beforeLines="50" w:afterLines="50" w:line="360" w:lineRule="auto"/>
        <w:ind w:firstLine="560" w:firstLineChars="200"/>
        <w:jc w:val="right"/>
        <w:rPr>
          <w:rFonts w:cs="宋体" w:asciiTheme="minorEastAsia" w:hAnsiTheme="minorEastAsia"/>
          <w:sz w:val="28"/>
          <w:szCs w:val="28"/>
          <w:highlight w:val="none"/>
        </w:rPr>
      </w:pPr>
      <w:r>
        <w:rPr>
          <w:rFonts w:hint="eastAsia" w:cs="宋体" w:asciiTheme="minorEastAsia" w:hAnsiTheme="minorEastAsia"/>
          <w:sz w:val="28"/>
          <w:szCs w:val="28"/>
          <w:highlight w:val="none"/>
        </w:rPr>
        <w:t>许昌宏德置业有限公司</w:t>
      </w:r>
    </w:p>
    <w:p>
      <w:pPr>
        <w:wordWrap w:val="0"/>
        <w:snapToGrid w:val="0"/>
        <w:spacing w:beforeLines="50" w:afterLines="50" w:line="360" w:lineRule="auto"/>
        <w:ind w:firstLine="560" w:firstLineChars="200"/>
        <w:jc w:val="right"/>
        <w:rPr>
          <w:rFonts w:cs="宋体" w:asciiTheme="minorEastAsia" w:hAnsiTheme="minorEastAsia"/>
          <w:sz w:val="28"/>
          <w:szCs w:val="28"/>
          <w:highlight w:val="none"/>
        </w:rPr>
      </w:pPr>
      <w:r>
        <w:rPr>
          <w:rFonts w:hint="eastAsia" w:cs="宋体" w:asciiTheme="minorEastAsia" w:hAnsiTheme="minorEastAsia"/>
          <w:sz w:val="28"/>
          <w:szCs w:val="28"/>
          <w:highlight w:val="none"/>
        </w:rPr>
        <w:t xml:space="preserve">2020年9月14日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66344"/>
    <w:rsid w:val="00113284"/>
    <w:rsid w:val="0019140D"/>
    <w:rsid w:val="001D5389"/>
    <w:rsid w:val="00223AB7"/>
    <w:rsid w:val="00344A6D"/>
    <w:rsid w:val="00464D34"/>
    <w:rsid w:val="004C4FF5"/>
    <w:rsid w:val="005723AF"/>
    <w:rsid w:val="006136BB"/>
    <w:rsid w:val="00717213"/>
    <w:rsid w:val="00766344"/>
    <w:rsid w:val="007C34F0"/>
    <w:rsid w:val="00832E83"/>
    <w:rsid w:val="00893AB1"/>
    <w:rsid w:val="00917421"/>
    <w:rsid w:val="00926C2F"/>
    <w:rsid w:val="009F25D5"/>
    <w:rsid w:val="00A60576"/>
    <w:rsid w:val="00AF7E35"/>
    <w:rsid w:val="00B10060"/>
    <w:rsid w:val="00C33DD2"/>
    <w:rsid w:val="00CE1DF3"/>
    <w:rsid w:val="00D56CBC"/>
    <w:rsid w:val="00D802F9"/>
    <w:rsid w:val="00E03841"/>
    <w:rsid w:val="00E51CEE"/>
    <w:rsid w:val="00EC4C9D"/>
    <w:rsid w:val="00F12114"/>
    <w:rsid w:val="025F3D4A"/>
    <w:rsid w:val="051C7B68"/>
    <w:rsid w:val="05546CAE"/>
    <w:rsid w:val="0705755A"/>
    <w:rsid w:val="0B744ADC"/>
    <w:rsid w:val="0DF42B8A"/>
    <w:rsid w:val="118D7C63"/>
    <w:rsid w:val="14EF433E"/>
    <w:rsid w:val="186A4A9E"/>
    <w:rsid w:val="192A210C"/>
    <w:rsid w:val="196F0E74"/>
    <w:rsid w:val="19860606"/>
    <w:rsid w:val="1BC41F86"/>
    <w:rsid w:val="1C6F74C0"/>
    <w:rsid w:val="1FA316A2"/>
    <w:rsid w:val="20104494"/>
    <w:rsid w:val="201E5362"/>
    <w:rsid w:val="20E60DCA"/>
    <w:rsid w:val="211D7577"/>
    <w:rsid w:val="2197603D"/>
    <w:rsid w:val="222F53B5"/>
    <w:rsid w:val="25A76266"/>
    <w:rsid w:val="26EF20E1"/>
    <w:rsid w:val="276E1090"/>
    <w:rsid w:val="2B31545F"/>
    <w:rsid w:val="2C2849B4"/>
    <w:rsid w:val="2DE46917"/>
    <w:rsid w:val="300A4E1B"/>
    <w:rsid w:val="304A5556"/>
    <w:rsid w:val="30B82FB6"/>
    <w:rsid w:val="331B5AE1"/>
    <w:rsid w:val="339A73AB"/>
    <w:rsid w:val="33F52F5E"/>
    <w:rsid w:val="34522492"/>
    <w:rsid w:val="347677BB"/>
    <w:rsid w:val="365F23A3"/>
    <w:rsid w:val="37A81E5A"/>
    <w:rsid w:val="393973F9"/>
    <w:rsid w:val="3B1926CD"/>
    <w:rsid w:val="3D073851"/>
    <w:rsid w:val="40697384"/>
    <w:rsid w:val="441B4394"/>
    <w:rsid w:val="45055D6B"/>
    <w:rsid w:val="45B256AA"/>
    <w:rsid w:val="46300B21"/>
    <w:rsid w:val="466C0A89"/>
    <w:rsid w:val="4844479A"/>
    <w:rsid w:val="4854458F"/>
    <w:rsid w:val="4D1D26F3"/>
    <w:rsid w:val="4D682F5B"/>
    <w:rsid w:val="4E0A1AC4"/>
    <w:rsid w:val="4EEC4CFC"/>
    <w:rsid w:val="4FBC03A5"/>
    <w:rsid w:val="542D39D0"/>
    <w:rsid w:val="54990923"/>
    <w:rsid w:val="57D5237B"/>
    <w:rsid w:val="5A0E7358"/>
    <w:rsid w:val="5AD73362"/>
    <w:rsid w:val="611D5C4C"/>
    <w:rsid w:val="64370EFD"/>
    <w:rsid w:val="651170C4"/>
    <w:rsid w:val="69123129"/>
    <w:rsid w:val="693826F3"/>
    <w:rsid w:val="6B0E1960"/>
    <w:rsid w:val="6F5C3C78"/>
    <w:rsid w:val="70AF5AC2"/>
    <w:rsid w:val="71210C6F"/>
    <w:rsid w:val="731931E1"/>
    <w:rsid w:val="750055D1"/>
    <w:rsid w:val="75130BB7"/>
    <w:rsid w:val="76D17D86"/>
    <w:rsid w:val="78A85AE2"/>
    <w:rsid w:val="7938043E"/>
    <w:rsid w:val="7B130434"/>
    <w:rsid w:val="7F5D0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660</Words>
  <Characters>3768</Characters>
  <Lines>31</Lines>
  <Paragraphs>8</Paragraphs>
  <TotalTime>91</TotalTime>
  <ScaleCrop>false</ScaleCrop>
  <LinksUpToDate>false</LinksUpToDate>
  <CharactersWithSpaces>4420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2020-09-14T09:27:00Z</dcterms:created>
  <dc:creator>Administrator</dc:creator>
  <cp:lastModifiedBy>南及</cp:lastModifiedBy>
  <cp:lastPrinted>2020-09-14T09:50:00Z</cp:lastPrinted>
  <dcterms:modified xsi:type="dcterms:W3CDTF">2020-10-10T09:38:29Z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