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241D6" w14:textId="1C8E5B84" w:rsidR="00DF7618" w:rsidRPr="00DF7618" w:rsidRDefault="00DF7618" w:rsidP="00DF7618">
      <w:pPr>
        <w:jc w:val="center"/>
        <w:rPr>
          <w:sz w:val="36"/>
          <w:szCs w:val="40"/>
        </w:rPr>
      </w:pPr>
      <w:r w:rsidRPr="00DF7618">
        <w:rPr>
          <w:sz w:val="36"/>
          <w:szCs w:val="40"/>
        </w:rPr>
        <w:t>规划用地要求</w:t>
      </w:r>
    </w:p>
    <w:p w14:paraId="33049B17" w14:textId="77777777" w:rsidR="00DF7618" w:rsidRDefault="00DF7618" w:rsidP="00DF7618">
      <w:r>
        <w:t>1.3.1、规划用地位置和范围：该规划用地位于承德高新区闫营子区域，四至范围为东</w:t>
      </w:r>
      <w:proofErr w:type="gramStart"/>
      <w:r>
        <w:t>临横一路</w:t>
      </w:r>
      <w:proofErr w:type="gramEnd"/>
      <w:r>
        <w:t>（规划次干路），</w:t>
      </w:r>
      <w:proofErr w:type="gramStart"/>
      <w:r>
        <w:t>西临横二路</w:t>
      </w:r>
      <w:proofErr w:type="gramEnd"/>
      <w:r>
        <w:t>（规划次干路），南临闫营子中路（规划主干路）,北临闫营子西路（规划主干路）。具体范围详见规划条件附图。</w:t>
      </w:r>
    </w:p>
    <w:p w14:paraId="52BE8E02" w14:textId="77777777" w:rsidR="00DF7618" w:rsidRDefault="00DF7618" w:rsidP="00DF7618">
      <w:r>
        <w:t>1.3.2、规划用地性质：二类居住用地(R2)。</w:t>
      </w:r>
    </w:p>
    <w:p w14:paraId="735AB598" w14:textId="77777777" w:rsidR="00DF7618" w:rsidRDefault="00DF7618" w:rsidP="00DF7618">
      <w:r>
        <w:t>1.3.3、规划建设用地面积：50407.75平方米（约75.61亩）。</w:t>
      </w:r>
    </w:p>
    <w:p w14:paraId="79F5845F" w14:textId="77777777" w:rsidR="00DF7618" w:rsidRDefault="00DF7618" w:rsidP="00DF7618">
      <w:r>
        <w:t>1.4、主要经济技术指标</w:t>
      </w:r>
    </w:p>
    <w:p w14:paraId="5AE42FF7" w14:textId="77777777" w:rsidR="00DF7618" w:rsidRDefault="00DF7618" w:rsidP="00DF7618">
      <w:r>
        <w:t>1、容积率：≤1.8。</w:t>
      </w:r>
    </w:p>
    <w:p w14:paraId="7F10EF84" w14:textId="77777777" w:rsidR="00DF7618" w:rsidRDefault="00DF7618" w:rsidP="00DF7618">
      <w:r>
        <w:t>2、建筑密度：≤30%。</w:t>
      </w:r>
    </w:p>
    <w:p w14:paraId="47C1A485" w14:textId="77777777" w:rsidR="00DF7618" w:rsidRDefault="00DF7618" w:rsidP="00DF7618">
      <w:r>
        <w:t>3、绿地率：≥35%。</w:t>
      </w:r>
    </w:p>
    <w:p w14:paraId="6AD16F09" w14:textId="77777777" w:rsidR="00DF7618" w:rsidRDefault="00DF7618" w:rsidP="00DF7618">
      <w:r>
        <w:t>4、建筑高度：≤50米（其中大于40米的单体建筑数量不得超过项目总建筑数量的1/2）。</w:t>
      </w:r>
    </w:p>
    <w:p w14:paraId="7F9D9B9C" w14:textId="77777777" w:rsidR="00DF7618" w:rsidRDefault="00DF7618" w:rsidP="00DF7618">
      <w:r>
        <w:t>5、停车要求：机动车停车率:住宅≥1.2辆/户，并按100%建设或预留充电</w:t>
      </w:r>
      <w:proofErr w:type="gramStart"/>
      <w:r>
        <w:t>桩建设</w:t>
      </w:r>
      <w:proofErr w:type="gramEnd"/>
      <w:r>
        <w:t>安装条件。配套商业≥1辆/100㎡建筑面积。机动车停车位应尽量设置在地下，应优先考虑设置多层停车或机械式停车设施，地面停车率不超过10%并设置临时停车位。非机动车（含电动自行车）停车率:住宅≥0.5辆/户，配套商业≥6辆/100㎡建筑面积。非机动车停车场（库）的位置应方便居民使用，具备充电基础设施安装条件。</w:t>
      </w:r>
    </w:p>
    <w:p w14:paraId="5C67ACE0" w14:textId="77777777" w:rsidR="00DF7618" w:rsidRDefault="00DF7618" w:rsidP="00DF7618">
      <w:r>
        <w:t>6、配套商业建筑面积占地上总建筑面积的比例为5%-10%。</w:t>
      </w:r>
    </w:p>
    <w:p w14:paraId="105FFB4C" w14:textId="77777777" w:rsidR="00DF7618" w:rsidRDefault="00DF7618" w:rsidP="00DF7618">
      <w:r>
        <w:t xml:space="preserve">7、地下建筑要求：地下建筑应为车库、人防工程、储藏室及市政配套设施，地下建筑不超过2层，建设范围应符合建筑控制线要求，地下总建筑面积不应超过83286平方米。  </w:t>
      </w:r>
    </w:p>
    <w:p w14:paraId="4D3857FE" w14:textId="77777777" w:rsidR="00DF7618" w:rsidRDefault="00DF7618" w:rsidP="00DF7618">
      <w:r>
        <w:t>1.5、项目建设规模及内容</w:t>
      </w:r>
    </w:p>
    <w:p w14:paraId="05948CC2" w14:textId="77777777" w:rsidR="00DF7618" w:rsidRDefault="00DF7618" w:rsidP="00DF7618">
      <w:r>
        <w:rPr>
          <w:rFonts w:hint="eastAsia"/>
        </w:rPr>
        <w:t>该地块规划用地面积</w:t>
      </w:r>
      <w:r>
        <w:t>50407.75㎡，总建筑面积174020㎡。</w:t>
      </w:r>
    </w:p>
    <w:p w14:paraId="2EE8AE04" w14:textId="77777777" w:rsidR="00DF7618" w:rsidRDefault="00DF7618" w:rsidP="00DF7618">
      <w:r>
        <w:rPr>
          <w:rFonts w:hint="eastAsia"/>
        </w:rPr>
        <w:t>地上总建筑面积</w:t>
      </w:r>
      <w:r>
        <w:t>90734㎡，其中：商业 4537㎡；住宅 83628㎡（含被动房 8700㎡）；公共建筑 2569㎡（含幼儿园  1009㎡）；地下总建筑面积 83286㎡。</w:t>
      </w:r>
    </w:p>
    <w:p w14:paraId="2F68AA7E" w14:textId="77777777" w:rsidR="00DF7618" w:rsidRDefault="00DF7618" w:rsidP="00DF7618">
      <w:r>
        <w:t>1.6、道路及配套设施要求</w:t>
      </w:r>
    </w:p>
    <w:p w14:paraId="5D6171D9" w14:textId="77777777" w:rsidR="00DF7618" w:rsidRDefault="00DF7618" w:rsidP="00DF7618">
      <w:r>
        <w:t>1.6.1、路网及基地出入口要求：内部道路交通组织应做到动静分离，道路设计应符合《城市综合交通体系规划标准》（GB/T51328-2018）有关规定，至少应有2个车行出入口连接城市道路，基地机动车出入口</w:t>
      </w:r>
      <w:proofErr w:type="gramStart"/>
      <w:r>
        <w:t>宜设置</w:t>
      </w:r>
      <w:proofErr w:type="gramEnd"/>
      <w:r>
        <w:t>在次干路上，与西侧小学地块出入口保持适当间距，避免交通干扰，出入口距离城市主干道交叉口不少于70米，地下车库出入口与城市道路应</w:t>
      </w:r>
      <w:proofErr w:type="gramStart"/>
      <w:r>
        <w:t>满足退距要求</w:t>
      </w:r>
      <w:proofErr w:type="gramEnd"/>
      <w:r>
        <w:t>。</w:t>
      </w:r>
    </w:p>
    <w:p w14:paraId="7E597602" w14:textId="77777777" w:rsidR="00DF7618" w:rsidRDefault="00DF7618" w:rsidP="00DF7618">
      <w:r>
        <w:t>1.6.2、市政设施要求：根据项目建设需求，商各相关行业部门落实供水、供电、雨水、污水、中水、燃气、供热、通信等基础设施，做好管线综合设计，方案中应标明各类管线与市政主管网衔接的具体位置、各类配套设施位置和面积。为加快智慧城市建设，给排水管网应配备流量监测功能，能够将数据上传网络。所有管线均应地下敷设，各种地下管线之间和地下管线与建筑物、构筑物、道路之间的最小净距，应满足安全、检修安装及工艺的要求，符合国家现行有关规范、规定要求。</w:t>
      </w:r>
    </w:p>
    <w:p w14:paraId="4911254F" w14:textId="77777777" w:rsidR="00DF7618" w:rsidRDefault="00DF7618" w:rsidP="00DF7618">
      <w:r>
        <w:t>1.6.3、配套设施要求：配套设施应与住宅同步规划、同步实施。配套设施具体位置、名称、使用功能、建筑面积要在规划方案中注明。未按照时序建设、验收不合格的，规划部门不予以规划核验。社区服务站、社区卫生服务站、文化活动站、养老服务设施、室外体育活动场地、物业用房、社区商业网点、垃圾收集点等设施</w:t>
      </w:r>
      <w:proofErr w:type="gramStart"/>
      <w:r>
        <w:t>宜集中</w:t>
      </w:r>
      <w:proofErr w:type="gramEnd"/>
      <w:r>
        <w:t>布局、联合建设，形成社区综合服务中心，除按《城市居住区规划设计标准》、《河北省城乡公共服务设施配置和建设标准》等有关规定逐级配套外，还应按照下列省、市相关文件执行：</w:t>
      </w:r>
    </w:p>
    <w:p w14:paraId="31D127D5" w14:textId="77777777" w:rsidR="00DF7618" w:rsidRDefault="00DF7618" w:rsidP="00DF7618">
      <w:r>
        <w:t>1.6.4、地块内需独立配建一所占地面积不小于1835平方米且建筑面积不小于1009平方米的3班幼儿园。配套幼儿园应与首期建设的居住区同步规划、同步实施、同步交付使用，验</w:t>
      </w:r>
      <w:r>
        <w:lastRenderedPageBreak/>
        <w:t>收不合格的，规划部门不予以规划核验。开发建设单位将配建的幼儿园按照《河北省城镇居住小区配套幼儿园建设管理办法（试行）》规定，移交给高新区教育主管部门或当地政府指定的部门。</w:t>
      </w:r>
    </w:p>
    <w:p w14:paraId="3FF1F1F1" w14:textId="77777777" w:rsidR="00DF7618" w:rsidRDefault="00DF7618" w:rsidP="00DF7618">
      <w:r>
        <w:t>1.6.5、社区综合服务设施（居委会、社区服务中心、警务室、社区服务站、社区党组织用房等）按每百户不低于30平方米设置；社区养老</w:t>
      </w:r>
      <w:proofErr w:type="gramStart"/>
      <w:r>
        <w:t>务</w:t>
      </w:r>
      <w:proofErr w:type="gramEnd"/>
      <w:r>
        <w:t>设施按每百户不低于30平方米设置。体育建设设施按照室内人均建筑面积不低于0.1平方米或室外人均用地不低于0.3平方米设置。邮政（快递）服务场所按照《关于进一步完善建设邮政快递末端基础设施的通知（承邮管[2020]42号）》进行设置：服务人数≥1000人，网点建筑面积≥25㎡。基地内需临城市道路同步配建一座水冲式公厕（对外服务），建筑面积不小于60平方米。</w:t>
      </w:r>
    </w:p>
    <w:p w14:paraId="3FDB830B" w14:textId="77777777" w:rsidR="00DF7618" w:rsidRDefault="00DF7618" w:rsidP="00DF7618">
      <w:r>
        <w:t>1.6.6、物业管理用房按照不低于住宅总建筑面积3‰比例配置；住宅总建筑面积不足3万平方米的，物业管理用房不得低于90平方米。社区便民市场（菜市场）建筑面积不低于750平方米。</w:t>
      </w:r>
    </w:p>
    <w:p w14:paraId="633F0453" w14:textId="77777777" w:rsidR="00DF7618" w:rsidRDefault="00DF7618" w:rsidP="00DF7618">
      <w:r>
        <w:t>1.6.7、各级生活圈居住区应配建公共绿地，并应集中设置具有一定规模且能开展休闲、体育活动的居住区公园；居住街坊内集中绿地不应低于0.5㎡/人，宽度不小于8米。</w:t>
      </w:r>
    </w:p>
    <w:p w14:paraId="0395E15D" w14:textId="77777777" w:rsidR="00DF7618" w:rsidRDefault="00DF7618" w:rsidP="00DF7618">
      <w:r>
        <w:t>1.7、规划、建筑设计要求</w:t>
      </w:r>
    </w:p>
    <w:p w14:paraId="27F34DE8" w14:textId="77777777" w:rsidR="00DF7618" w:rsidRDefault="00DF7618" w:rsidP="00DF7618">
      <w:r>
        <w:t>1.7.1、规划总平面布局：功能分区明确，平面布局合理，路网结构清晰，合理利用地下空间结合人防工程设置地下停车场。配套设施布局应与城市公共交通和周边相邻地段结合，遵循集中和分散兼顾、独立和混合使用并重的原则，体现均好性和通达性。</w:t>
      </w:r>
    </w:p>
    <w:p w14:paraId="3C007BB2" w14:textId="77777777" w:rsidR="00DF7618" w:rsidRDefault="00DF7618" w:rsidP="00DF7618">
      <w:r>
        <w:t>1.7.2、规划建筑退让要求：该地块东侧</w:t>
      </w:r>
      <w:proofErr w:type="gramStart"/>
      <w:r>
        <w:t>临横一路</w:t>
      </w:r>
      <w:proofErr w:type="gramEnd"/>
      <w:r>
        <w:t>（规划次干路），道路红线宽度20米，道路西侧规划5米绿化带，规划地下、多层建筑及高层裙房后退绿线不少于7米，规划高层建筑后退绿线不少于10米；</w:t>
      </w:r>
      <w:proofErr w:type="gramStart"/>
      <w:r>
        <w:t>西侧临横二路</w:t>
      </w:r>
      <w:proofErr w:type="gramEnd"/>
      <w:r>
        <w:t>（规划次干路），道路红线宽度20米，规划地下、多层建筑及高层裙房后退用地范围线不少于10米，规划高层建筑后退用地范围线不少于15米；北侧临闫营子西路（规划主干路），道路红线宽度32米，道路南侧规划10米绿化带，规划地下、多层建筑及高层裙房后退绿线不少于7米，规划高层建筑后退绿线不少于10米；南侧临闫营子中路（</w:t>
      </w:r>
      <w:r>
        <w:rPr>
          <w:rFonts w:hint="eastAsia"/>
        </w:rPr>
        <w:t>规划主干路），道路红线宽度</w:t>
      </w:r>
      <w:r>
        <w:t>30米，道路北侧规划10米绿化带，规划地下、多层建筑及高层裙房后退绿线不少于15米，规划高层建筑后退绿线不少于20米。</w:t>
      </w:r>
    </w:p>
    <w:p w14:paraId="79964143" w14:textId="77777777" w:rsidR="00DF7618" w:rsidRDefault="00DF7618" w:rsidP="00DF7618">
      <w:r>
        <w:t>1.7.3、建筑间距：住宅建筑间距应符合《城市居住区规划设计标准》（GB50180-2018）、《建筑设计防火规范》（GB50016-2014）、《住宅设计规范》（GB50096-2011）等有关规定，统筹考虑日照、采光、通风、管线埋设、视觉卫生、防灾等要求。新建住宅项目内部日照标准不得低于大寒</w:t>
      </w:r>
      <w:proofErr w:type="gramStart"/>
      <w:r>
        <w:t>日</w:t>
      </w:r>
      <w:proofErr w:type="gramEnd"/>
      <w:r>
        <w:t>日照2小时，与相邻地段的住宅建筑日照标准不得低于大寒</w:t>
      </w:r>
      <w:proofErr w:type="gramStart"/>
      <w:r>
        <w:t>日</w:t>
      </w:r>
      <w:proofErr w:type="gramEnd"/>
      <w:r>
        <w:t>日照3小时。对周边及自身有日照要求的建筑必须提供有效详实的日照分析报告，日照分析报告必须委托有相应资质的设计单位计算，要使用经住建部认证的正版软件。</w:t>
      </w:r>
    </w:p>
    <w:p w14:paraId="1452B33C" w14:textId="77777777" w:rsidR="00DF7618" w:rsidRDefault="00DF7618" w:rsidP="00DF7618">
      <w:r>
        <w:t>1.7.4、场地竖向设计：竖向规划设计应满足《城乡建设用地竖向规划规范》（CJJ83-2016）的有关规定。结合周边路网竖向高程合理确定场地标高，综合考虑规划用地地质条件、雨水收集与排放、山体泄洪、配套设施衔接、消防车辆通行以及交通组织等问题。如需建设护坡挡墙，应明确位置和形式，并设置在用地范围内。</w:t>
      </w:r>
    </w:p>
    <w:p w14:paraId="43B2BD11" w14:textId="77777777" w:rsidR="00DF7618" w:rsidRDefault="00DF7618" w:rsidP="00DF7618">
      <w:r>
        <w:t>1.7.5、其它相关要求：按照绿色建筑不低于二星级标准规划设计。落实海绵城市有关要求，绿地结合场地雨水排放进行设计，提高调</w:t>
      </w:r>
      <w:proofErr w:type="gramStart"/>
      <w:r>
        <w:t>蓄</w:t>
      </w:r>
      <w:proofErr w:type="gramEnd"/>
      <w:r>
        <w:t>雨水功能，附属道路及附属绿地的活动场地的铺装，在符合有关功能性要求的前提下应满足透水性要求，年径流总量控制率为85%，并进行专篇设计；规划建筑考虑节能设计和太阳能一体化设计；规划建筑、道路、场地应符合无障碍设计要求；按相关要求建设人防设施；总建筑面积10万平方米以上的民用建筑项目，至少建设一栋被动房，面积不低于总建筑面积的5%。</w:t>
      </w:r>
    </w:p>
    <w:p w14:paraId="3B0C1ED3" w14:textId="77777777" w:rsidR="00DF7618" w:rsidRDefault="00DF7618" w:rsidP="00DF7618">
      <w:r>
        <w:t>1.8、城市设计及景观要求</w:t>
      </w:r>
    </w:p>
    <w:p w14:paraId="5B0762D6" w14:textId="77777777" w:rsidR="00DF7618" w:rsidRDefault="00DF7618" w:rsidP="00DF7618">
      <w:r>
        <w:t>1.8.1、居住区建筑的肌理、界面、高度、体量、风格、材质、色彩应与城市整体风貌、居住</w:t>
      </w:r>
      <w:r>
        <w:lastRenderedPageBreak/>
        <w:t>区周边环境及住宅建筑的使用功能相协调，并应体现地域特征、民族特色和时代风貌。参照该区域城市设计，注重规划建筑布局与景观分析，控制建筑体量、风格与色彩，注重第五立面设计，多层建筑应采用坡屋顶形式，多层建筑面宽不应超过60米，高层建筑面宽不应超过45米。建筑色彩主色调采用低明度、低彩度的灰色系及灰白色系，与山水环境相协调。沿街商业建筑、公共建筑外饰材料以石材为主，商业裙房沿街立面必须采用石材。建筑颜色及</w:t>
      </w:r>
      <w:proofErr w:type="gramStart"/>
      <w:r>
        <w:t>材质需</w:t>
      </w:r>
      <w:proofErr w:type="gramEnd"/>
      <w:r>
        <w:t>在图中明确标注。</w:t>
      </w:r>
    </w:p>
    <w:p w14:paraId="456791F2" w14:textId="77777777" w:rsidR="00DF7618" w:rsidRDefault="00DF7618" w:rsidP="00DF7618">
      <w:r>
        <w:t>1.8.2、注重做好</w:t>
      </w:r>
      <w:proofErr w:type="gramStart"/>
      <w:r>
        <w:t>夜景观亮化</w:t>
      </w:r>
      <w:proofErr w:type="gramEnd"/>
      <w:r>
        <w:t>设计，避免产生光污染。</w:t>
      </w:r>
    </w:p>
    <w:p w14:paraId="3156C177" w14:textId="77777777" w:rsidR="00DF7618" w:rsidRDefault="00DF7618" w:rsidP="00DF7618">
      <w:r>
        <w:t>1.9其他要求</w:t>
      </w:r>
    </w:p>
    <w:p w14:paraId="6848AFD2" w14:textId="77777777" w:rsidR="00DF7618" w:rsidRDefault="00DF7618" w:rsidP="00DF7618">
      <w:r>
        <w:t>1.9.1、受让方取得土地使用权后，需到我局领取规划（建筑）方案报审资料要求，委托两家或两家以上具有相应资质的设计单位编制两个或两个以上规划方案（附三维模型电子文件，具体技术要</w:t>
      </w:r>
      <w:proofErr w:type="gramStart"/>
      <w:r>
        <w:t>求见市</w:t>
      </w:r>
      <w:proofErr w:type="gramEnd"/>
      <w:r>
        <w:t>自然资源和规划局门户网站http://zrgh.chengde.gov.cn/art/2019/2/20/art_1066_154972.html），按程序上报审批。</w:t>
      </w:r>
    </w:p>
    <w:p w14:paraId="6AD3D221" w14:textId="478DF0F7" w:rsidR="00FE4CEF" w:rsidRDefault="00DF7618" w:rsidP="00DF7618">
      <w:r>
        <w:t>1.9.2、规划条件中未尽事宜应按国家、省、市现行相关法律法规、规范、文件要求执行。</w:t>
      </w:r>
    </w:p>
    <w:sectPr w:rsidR="00FE4C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72C1A" w14:textId="77777777" w:rsidR="00C65E7C" w:rsidRDefault="00C65E7C" w:rsidP="00DF7618">
      <w:r>
        <w:separator/>
      </w:r>
    </w:p>
  </w:endnote>
  <w:endnote w:type="continuationSeparator" w:id="0">
    <w:p w14:paraId="657413B4" w14:textId="77777777" w:rsidR="00C65E7C" w:rsidRDefault="00C65E7C" w:rsidP="00DF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FA30D" w14:textId="77777777" w:rsidR="00C65E7C" w:rsidRDefault="00C65E7C" w:rsidP="00DF7618">
      <w:r>
        <w:separator/>
      </w:r>
    </w:p>
  </w:footnote>
  <w:footnote w:type="continuationSeparator" w:id="0">
    <w:p w14:paraId="1067D0D9" w14:textId="77777777" w:rsidR="00C65E7C" w:rsidRDefault="00C65E7C" w:rsidP="00DF7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FE"/>
    <w:rsid w:val="00300AFE"/>
    <w:rsid w:val="00C65E7C"/>
    <w:rsid w:val="00DF7618"/>
    <w:rsid w:val="00FE4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2203A"/>
  <w15:chartTrackingRefBased/>
  <w15:docId w15:val="{21321DC1-6A82-49AE-B87A-5785510F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76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F7618"/>
    <w:rPr>
      <w:sz w:val="18"/>
      <w:szCs w:val="18"/>
    </w:rPr>
  </w:style>
  <w:style w:type="paragraph" w:styleId="a5">
    <w:name w:val="footer"/>
    <w:basedOn w:val="a"/>
    <w:link w:val="a6"/>
    <w:uiPriority w:val="99"/>
    <w:unhideWhenUsed/>
    <w:rsid w:val="00DF7618"/>
    <w:pPr>
      <w:tabs>
        <w:tab w:val="center" w:pos="4153"/>
        <w:tab w:val="right" w:pos="8306"/>
      </w:tabs>
      <w:snapToGrid w:val="0"/>
      <w:jc w:val="left"/>
    </w:pPr>
    <w:rPr>
      <w:sz w:val="18"/>
      <w:szCs w:val="18"/>
    </w:rPr>
  </w:style>
  <w:style w:type="character" w:customStyle="1" w:styleId="a6">
    <w:name w:val="页脚 字符"/>
    <w:basedOn w:val="a0"/>
    <w:link w:val="a5"/>
    <w:uiPriority w:val="99"/>
    <w:rsid w:val="00DF76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杨玉林</dc:creator>
  <cp:keywords/>
  <dc:description/>
  <cp:lastModifiedBy>杨玉林</cp:lastModifiedBy>
  <cp:revision>2</cp:revision>
  <dcterms:created xsi:type="dcterms:W3CDTF">2020-11-29T01:26:00Z</dcterms:created>
  <dcterms:modified xsi:type="dcterms:W3CDTF">2020-11-29T01:26:00Z</dcterms:modified>
</cp:coreProperties>
</file>