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唐山富强城项目简介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开发商：唐山富强房地产开发有限公司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2020年12月23日，经与富强地产周方座谈，唐山市富强城项目概况为：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富强城商业：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富强城一期商业2.6万㎡，二期2.4万㎡，共计5万平。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（一）一期商业2.6万㎡，一期商业目前正在招商运营中：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-2F：面积7671㎡：停车位80个，按40㎡一个车位计算，剩余面积3200㎡；其余已经销售给居住部分。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-1F：面积4788㎡：1100平米已经租赁，其余为停车位。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1F：面积3640㎡：沿街底商已经出租，内部商业主体为国美电器，目前剩余1000多平米未出租。一层商业未售。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2F：面积4702㎡：出租给1家建材销售，2家教育机构，其余空置。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3F：面积7070㎡：出租给5家教育机构，其中米字格为富强城自有，其余空置。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4F：面积3212㎡：为创业孵化中心；另有，曙光影院产权为回迁户，已经停止运营，目前由地产公司代管。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微软雅黑 Light" w:hAnsi="微软雅黑 Light" w:eastAsia="微软雅黑 Light" w:cs="微软雅黑 Light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一期总面积合计26612㎡，其中地上面积：18624㎡，地下7988㎡。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（二）二期约2.4万㎡，目前未完工：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-1F：面积约7800㎡：半停车场，地下停车位200余个。另有，1万平地下标准化菜市场，摊位以卖40年使用权形式销售，目前剩余100多个摊位。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1F:面积  2671  ㎡：地上一层产大部分已经出售，剩余365㎡。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2F：面积约4500㎡：已经出租。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3F：面积约4500㎡：已经出租。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其余业态：酒店约6000㎡，未完工。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二期总面积合计23165㎡，其中地上面积：15365㎡，地下7800㎡。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公司运营状态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（一）一期、二期目前为在建抵押，公司处于破产重组中，对外负债处于止息状态。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（二）公司负债及运营预算费用：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1、公司负债主要为长城资产本息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u w:val="single"/>
          <w:lang w:val="en-US" w:eastAsia="zh-CN"/>
        </w:rPr>
        <w:t>1.85亿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2、施工单位欠款及停工损失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u w:val="single"/>
          <w:lang w:val="en-US" w:eastAsia="zh-CN"/>
        </w:rPr>
        <w:t>2亿元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3、商业部分后续工程完工所需工程款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u w:val="single"/>
          <w:lang w:val="en-US" w:eastAsia="zh-CN"/>
        </w:rPr>
        <w:t>2000万元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4、公司完善居住部分手续费用及工程费用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u w:val="single"/>
          <w:lang w:val="en-US" w:eastAsia="zh-CN"/>
        </w:rPr>
        <w:t>200万元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5、违规预收房款退款本息及违约金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u w:val="single"/>
          <w:lang w:val="en-US" w:eastAsia="zh-CN"/>
        </w:rPr>
        <w:t>800万元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6、项目对外其他负债本息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u w:val="single"/>
          <w:lang w:val="en-US" w:eastAsia="zh-CN"/>
        </w:rPr>
        <w:t>3500万元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7、其他费用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u w:val="single"/>
          <w:lang w:val="en-US" w:eastAsia="zh-CN"/>
        </w:rPr>
        <w:t>2000万元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以上合计费用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w w:val="100"/>
          <w:sz w:val="21"/>
          <w:szCs w:val="21"/>
          <w:u w:val="single" w:color="auto"/>
          <w:lang w:val="en-US" w:eastAsia="zh-CN"/>
        </w:rPr>
        <w:t>4.7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u w:val="single" w:color="auto"/>
          <w:lang w:val="en-US" w:eastAsia="zh-CN"/>
        </w:rPr>
        <w:t>亿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w w:val="100"/>
          <w:sz w:val="21"/>
          <w:szCs w:val="21"/>
          <w:u w:val="single" w:color="auto"/>
          <w:lang w:val="en-US" w:eastAsia="zh-CN"/>
        </w:rPr>
        <w:t>元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。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目前项目收益情况：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项目一期及二期目前可实现租金利润200万/年，如项目正常运营，年租金利润可达到400万；如出租，该地段租金可以覆盖商业资本化利息。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富强城商业项目盘活后运营收益：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（一）销售部分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酒店公寓分割产权销售：6000㎡*8000元/㎡=4800万元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  <w:t>餐饮内街分割产权销售：4500㎡*10000元/㎡=4500万元。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一期沿街商业分割产权销售：2000㎡*2.5万/㎡=5000万元。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二期地下菜场及其他零散商业销售：1000万元。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以上合计富强城商业部分盘活可实现销售现金流：15300万元，对外销售地上建筑面积12500㎡。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注：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酒店作为商业公寓销售中争取办理曙光楼小区学区房。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富强城区域有煤医道夜市，商业氛围浓厚，且周边小区众多，商业分割销售有优势。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（二）资产部分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地上剩余建筑面积：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18624㎡+15365㎡-12500㎡（外售）=21489㎡，该部分以10000元/㎡估价，按70%抵押率，可以融资21489㎡*10000元/㎡*0.7=15000万元。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以上合计富强城商业部分盘活可实现经营性抵押融资：约15000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万元。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三期项目37亩，容积率与地价未定，地上建筑物为之前剧院等遗留建筑，现已搬去南湖，没有个人住户，拆迁难度小。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项目破解思路：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三期土地溢价+一二期破产重租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1、通过政府</w:t>
      </w:r>
      <w:bookmarkStart w:id="0" w:name="_GoBack"/>
      <w:bookmarkEnd w:id="0"/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谈判沟通确定，37亩住宅结合地产公司开发要求定向出让，做到每亩地价优惠460万/亩，整体优惠1.7亿元，弥补商业亏损。同时，地产公司获地同时准置换出1亿元现金流启动商业部分销售、招商运营。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2、以1亿元为启动资金，破产重组富强地产+地产公司品牌注入+商业销售、招商、融资运营。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3、操作方案：开发及破产重组介入主体为金地商置地产公司+陈岚联合体操作。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（1）陈总与金地方联合成立公司，双方股比30%:70%，陈总不实质投入，其所投入部分由金地方借款并计息。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（2）合资公司摘地获取37亩开发用地（如政府方定向出让有难度，则由金地与陈岚共同与政府接洽富强房地产破产重组与37亩定向出让事宜）。该过程尽量降低地价获取利润空间。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（3）摘地同时，合资公司正式通过法院介入富强地产破产重组事宜，盘活公司现有物业，实现可售物业解封及销售，实现招商运营。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以上方案不甚成熟，具体后续洽商。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 Light" w:hAnsi="微软雅黑 Light" w:eastAsia="微软雅黑 Light" w:cs="微软雅黑 Light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662577"/>
    <w:multiLevelType w:val="singleLevel"/>
    <w:tmpl w:val="8A66257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B67C4E"/>
    <w:multiLevelType w:val="singleLevel"/>
    <w:tmpl w:val="C1B67C4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176671D"/>
    <w:multiLevelType w:val="singleLevel"/>
    <w:tmpl w:val="E17667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541A"/>
    <w:rsid w:val="018F3334"/>
    <w:rsid w:val="038120D4"/>
    <w:rsid w:val="0428062E"/>
    <w:rsid w:val="05084DF1"/>
    <w:rsid w:val="0CF93176"/>
    <w:rsid w:val="1B693FBF"/>
    <w:rsid w:val="1BAE530A"/>
    <w:rsid w:val="1C9C48CE"/>
    <w:rsid w:val="1CEF25C6"/>
    <w:rsid w:val="1DE11CF1"/>
    <w:rsid w:val="23646CB4"/>
    <w:rsid w:val="249625A6"/>
    <w:rsid w:val="264C2360"/>
    <w:rsid w:val="26D076BC"/>
    <w:rsid w:val="2E433DC0"/>
    <w:rsid w:val="2EE5264A"/>
    <w:rsid w:val="35D84614"/>
    <w:rsid w:val="399B3B3E"/>
    <w:rsid w:val="3A6468EF"/>
    <w:rsid w:val="3B381CFC"/>
    <w:rsid w:val="40FB6E7E"/>
    <w:rsid w:val="418A5A59"/>
    <w:rsid w:val="46EF3916"/>
    <w:rsid w:val="47C90B52"/>
    <w:rsid w:val="48970E55"/>
    <w:rsid w:val="4AE32EDC"/>
    <w:rsid w:val="4D2E1935"/>
    <w:rsid w:val="4E022101"/>
    <w:rsid w:val="532B6D52"/>
    <w:rsid w:val="53C71AE5"/>
    <w:rsid w:val="5929061F"/>
    <w:rsid w:val="59566C21"/>
    <w:rsid w:val="5B190BC6"/>
    <w:rsid w:val="5C510D07"/>
    <w:rsid w:val="6123301F"/>
    <w:rsid w:val="670E2853"/>
    <w:rsid w:val="7259344D"/>
    <w:rsid w:val="7AB709AF"/>
    <w:rsid w:val="7C821514"/>
    <w:rsid w:val="7CB1519F"/>
    <w:rsid w:val="7D4871C6"/>
    <w:rsid w:val="7ED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kangj</dc:creator>
  <cp:lastModifiedBy>刘宪锋</cp:lastModifiedBy>
  <dcterms:modified xsi:type="dcterms:W3CDTF">2021-01-12T09:01:52Z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