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仿宋" w:asciiTheme="majorEastAsia" w:hAnsiTheme="majorEastAsia" w:eastAsiaTheme="majorEastAsia"/>
          <w:b/>
          <w:sz w:val="24"/>
          <w:szCs w:val="24"/>
        </w:rPr>
      </w:pPr>
    </w:p>
    <w:p>
      <w:pPr>
        <w:spacing w:line="360" w:lineRule="auto"/>
        <w:jc w:val="center"/>
        <w:rPr>
          <w:rFonts w:cs="仿宋" w:asciiTheme="majorEastAsia" w:hAnsiTheme="majorEastAsia" w:eastAsiaTheme="majorEastAsia"/>
          <w:b/>
          <w:bCs/>
          <w:spacing w:val="8"/>
          <w:sz w:val="36"/>
          <w:szCs w:val="36"/>
        </w:rPr>
      </w:pPr>
      <w:r>
        <w:rPr>
          <w:rFonts w:hint="eastAsia" w:cs="仿宋" w:asciiTheme="majorEastAsia" w:hAnsiTheme="majorEastAsia" w:eastAsiaTheme="majorEastAsia"/>
          <w:b/>
          <w:bCs/>
          <w:spacing w:val="8"/>
          <w:sz w:val="36"/>
          <w:szCs w:val="36"/>
        </w:rPr>
        <w:t>天津中新生态城澜清学府项目</w:t>
      </w:r>
    </w:p>
    <w:p>
      <w:pPr>
        <w:spacing w:line="360" w:lineRule="auto"/>
        <w:jc w:val="center"/>
        <w:rPr>
          <w:rFonts w:cs="仿宋" w:asciiTheme="majorEastAsia" w:hAnsiTheme="majorEastAsia" w:eastAsiaTheme="majorEastAsia"/>
          <w:b/>
          <w:bCs/>
          <w:spacing w:val="8"/>
          <w:sz w:val="36"/>
          <w:szCs w:val="36"/>
        </w:rPr>
      </w:pPr>
      <w:r>
        <w:rPr>
          <w:rFonts w:hint="eastAsia" w:cs="仿宋" w:asciiTheme="majorEastAsia" w:hAnsiTheme="majorEastAsia" w:eastAsiaTheme="majorEastAsia"/>
          <w:b/>
          <w:bCs/>
          <w:spacing w:val="8"/>
          <w:sz w:val="36"/>
          <w:szCs w:val="36"/>
        </w:rPr>
        <w:t>融资申请</w:t>
      </w:r>
    </w:p>
    <w:p>
      <w:pPr>
        <w:spacing w:line="480" w:lineRule="auto"/>
        <w:ind w:firstLine="560" w:firstLineChars="200"/>
        <w:jc w:val="left"/>
        <w:rPr>
          <w:rFonts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一、企业简介</w:t>
      </w:r>
    </w:p>
    <w:p>
      <w:pPr>
        <w:ind w:firstLine="544"/>
        <w:rPr>
          <w:rFonts w:ascii="仿宋" w:hAnsi="仿宋" w:eastAsia="仿宋" w:cs="仿宋"/>
          <w:color w:val="333333"/>
          <w:kern w:val="0"/>
          <w:sz w:val="24"/>
          <w:szCs w:val="24"/>
        </w:rPr>
      </w:pPr>
      <w:r>
        <w:rPr>
          <w:rFonts w:hint="eastAsia" w:ascii="宋体" w:hAnsi="宋体" w:cs="仿宋"/>
          <w:spacing w:val="8"/>
          <w:sz w:val="28"/>
          <w:szCs w:val="28"/>
        </w:rPr>
        <w:t xml:space="preserve">亿利集团（ELION）创立于1988年，是中国领先的生态产业服务商,联合国认定的全球治沙领导者，长期致力于生态修复和生态产业融合发展。控股公司亿利洁能（600277）于2000年在沪上市。公司资产逾1000亿元，员工超过8000人。经联合国环境署评估认定，亿利集团30年累计创造生态财富5000多亿元。亿利集团先后获得“中国脱贫攻坚奖”“国土绿化奖”“绿色长城奖章”，获得联合国“全球治沙领导者”奖和“地球卫士终身成就奖”。库布其沙漠亿利生态示范区被中国政府命名为“绿水青山就是金山银山”实践创新基地。 </w:t>
      </w:r>
      <w:r>
        <w:rPr>
          <w:rFonts w:hint="eastAsia" w:ascii="仿宋" w:hAnsi="仿宋" w:eastAsia="仿宋" w:cs="仿宋"/>
          <w:color w:val="333333"/>
          <w:kern w:val="0"/>
          <w:sz w:val="24"/>
          <w:szCs w:val="24"/>
        </w:rPr>
        <w:t xml:space="preserve"> </w:t>
      </w:r>
    </w:p>
    <w:p>
      <w:pPr>
        <w:ind w:firstLine="544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金威建设集团是亿利集团的二级企业，秉持 “改善人居环境，倡导优质生活”的企业发展理念，经过3</w:t>
      </w:r>
      <w:r>
        <w:rPr>
          <w:rFonts w:ascii="宋体" w:hAnsi="宋体" w:cs="仿宋"/>
          <w:spacing w:val="8"/>
          <w:sz w:val="28"/>
          <w:szCs w:val="28"/>
        </w:rPr>
        <w:t>0</w:t>
      </w:r>
      <w:r>
        <w:rPr>
          <w:rFonts w:hint="eastAsia" w:ascii="宋体" w:hAnsi="宋体" w:cs="仿宋"/>
          <w:spacing w:val="8"/>
          <w:sz w:val="28"/>
          <w:szCs w:val="28"/>
        </w:rPr>
        <w:t>年的潜心发展，公司已形成了以投资规划、土地整理、开发建设、商业运营为一体的全过程地产开发运作体系。重点发展区域已由内蒙古转向京津冀和800万以上人口的一、二线城市，目前项目已遍布天津滨海、天津武清、天津宝坻、福建宁德、武汉天门、河北固安、浙江安吉、内蒙呼和浩特和鄂尔多斯等城市。</w:t>
      </w:r>
    </w:p>
    <w:p>
      <w:pPr>
        <w:spacing w:line="480" w:lineRule="auto"/>
        <w:ind w:firstLine="560" w:firstLineChars="200"/>
        <w:jc w:val="left"/>
        <w:rPr>
          <w:rFonts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二、项目介绍</w:t>
      </w:r>
    </w:p>
    <w:p>
      <w:pPr>
        <w:pStyle w:val="14"/>
        <w:numPr>
          <w:ilvl w:val="0"/>
          <w:numId w:val="1"/>
        </w:numPr>
        <w:spacing w:line="480" w:lineRule="auto"/>
        <w:ind w:firstLineChars="0"/>
        <w:jc w:val="left"/>
        <w:rPr>
          <w:rFonts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项目位置、规模</w:t>
      </w:r>
    </w:p>
    <w:p>
      <w:pPr>
        <w:pStyle w:val="14"/>
        <w:widowControl/>
        <w:kinsoku w:val="0"/>
        <w:overflowPunct w:val="0"/>
        <w:spacing w:line="360" w:lineRule="auto"/>
        <w:ind w:left="113" w:firstLine="592"/>
        <w:jc w:val="left"/>
        <w:textAlignment w:val="baseline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中新天津生态城是中国、新加坡两国政府战略性合作项目，是世界上第一个国家间合作开发建设的生态城市，将为中国乃至世界其他城市可持续发展提供生态样板。生态城毗邻天津经济技术开发区，面积约</w:t>
      </w:r>
      <w:r>
        <w:rPr>
          <w:rFonts w:ascii="宋体" w:hAnsi="宋体" w:cs="仿宋"/>
          <w:spacing w:val="8"/>
          <w:sz w:val="28"/>
          <w:szCs w:val="28"/>
        </w:rPr>
        <w:t>150</w:t>
      </w:r>
      <w:r>
        <w:rPr>
          <w:rFonts w:hint="eastAsia" w:ascii="宋体" w:hAnsi="宋体" w:cs="仿宋"/>
          <w:spacing w:val="8"/>
          <w:sz w:val="28"/>
          <w:szCs w:val="28"/>
        </w:rPr>
        <w:t>平方公里，规划居住人口35万。生态城距北京约150公里，距天津中心城区约45公里，距天津滨海国际机场约40公里。建设中的轨道交通Z4线将于2</w:t>
      </w:r>
      <w:r>
        <w:rPr>
          <w:rFonts w:ascii="宋体" w:hAnsi="宋体" w:cs="仿宋"/>
          <w:spacing w:val="8"/>
          <w:sz w:val="28"/>
          <w:szCs w:val="28"/>
        </w:rPr>
        <w:t>022</w:t>
      </w:r>
      <w:r>
        <w:rPr>
          <w:rFonts w:hint="eastAsia" w:ascii="宋体" w:hAnsi="宋体" w:cs="仿宋"/>
          <w:spacing w:val="8"/>
          <w:sz w:val="28"/>
          <w:szCs w:val="28"/>
        </w:rPr>
        <w:t>年通车。项目地块位于中新生态城北部片区核心位置，项目总用地7.6万平米(115亩),地上总建筑11.28万平米,预计</w:t>
      </w:r>
      <w:r>
        <w:rPr>
          <w:rFonts w:ascii="宋体" w:hAnsi="宋体" w:cs="仿宋"/>
          <w:spacing w:val="8"/>
          <w:sz w:val="28"/>
          <w:szCs w:val="28"/>
        </w:rPr>
        <w:t>总投</w:t>
      </w:r>
      <w:r>
        <w:rPr>
          <w:rFonts w:hint="eastAsia" w:ascii="宋体" w:hAnsi="宋体" w:cs="仿宋"/>
          <w:spacing w:val="8"/>
          <w:sz w:val="28"/>
          <w:szCs w:val="28"/>
        </w:rPr>
        <w:t>12.88亿元</w:t>
      </w:r>
      <w:r>
        <w:rPr>
          <w:rFonts w:ascii="宋体" w:hAnsi="宋体" w:cs="仿宋"/>
          <w:spacing w:val="8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2、项目优势</w:t>
      </w:r>
    </w:p>
    <w:p>
      <w:pPr>
        <w:spacing w:line="540" w:lineRule="exact"/>
        <w:ind w:firstLine="592" w:firstLineChars="200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1、滨海新区尤其是中新生态城承接北京疏导政策，享受京津冀一体化政策，同时执行区域叠加政策，强力引进人才、教育资源优势突出，大幅拉升生态城北部区域未来发展价值。</w:t>
      </w:r>
    </w:p>
    <w:p>
      <w:pPr>
        <w:spacing w:line="540" w:lineRule="exact"/>
        <w:ind w:firstLine="592" w:firstLineChars="200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2、天津市房地产市场整体稳健上升的态势不减，市场对于滨海信心更强，生态城最为突出，受到央企、地方国企、地方优质民营企业的关注和青睐，发展势头强劲。</w:t>
      </w:r>
    </w:p>
    <w:p>
      <w:pPr>
        <w:spacing w:line="540" w:lineRule="exact"/>
        <w:ind w:firstLine="592" w:firstLineChars="200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3、目标地块土地溢价、产品溢价、政策溢价、资源溢价空间非常可观。</w:t>
      </w:r>
    </w:p>
    <w:p>
      <w:pPr>
        <w:spacing w:line="540" w:lineRule="exact"/>
        <w:ind w:firstLine="592" w:firstLineChars="200"/>
        <w:rPr>
          <w:rFonts w:ascii="宋体" w:hAnsi="宋体" w:cs="仿宋"/>
          <w:spacing w:val="8"/>
          <w:sz w:val="28"/>
          <w:szCs w:val="28"/>
        </w:rPr>
      </w:pPr>
      <w:r>
        <w:rPr>
          <w:rFonts w:ascii="宋体" w:hAnsi="宋体" w:cs="仿宋"/>
          <w:spacing w:val="8"/>
          <w:sz w:val="28"/>
          <w:szCs w:val="28"/>
        </w:rPr>
        <w:t>4</w:t>
      </w:r>
      <w:r>
        <w:rPr>
          <w:rFonts w:hint="eastAsia" w:ascii="宋体" w:hAnsi="宋体" w:cs="仿宋"/>
          <w:spacing w:val="8"/>
          <w:sz w:val="28"/>
          <w:szCs w:val="28"/>
        </w:rPr>
        <w:t>、区域内项目销售状况良好，地块周边邻近项目---滨旅景熙2019年底开盘，月均去化速度79套左右。</w:t>
      </w:r>
    </w:p>
    <w:p>
      <w:pPr>
        <w:spacing w:line="540" w:lineRule="exact"/>
        <w:ind w:firstLine="592" w:firstLineChars="200"/>
        <w:rPr>
          <w:rFonts w:ascii="宋体" w:hAnsi="宋体" w:cs="仿宋"/>
          <w:spacing w:val="8"/>
          <w:sz w:val="28"/>
          <w:szCs w:val="28"/>
        </w:rPr>
      </w:pPr>
      <w:r>
        <w:rPr>
          <w:rFonts w:ascii="宋体" w:hAnsi="宋体" w:cs="仿宋"/>
          <w:spacing w:val="8"/>
          <w:sz w:val="28"/>
          <w:szCs w:val="28"/>
        </w:rPr>
        <w:t>5</w:t>
      </w:r>
      <w:r>
        <w:rPr>
          <w:rFonts w:hint="eastAsia" w:ascii="宋体" w:hAnsi="宋体" w:cs="仿宋"/>
          <w:spacing w:val="8"/>
          <w:sz w:val="28"/>
          <w:szCs w:val="28"/>
        </w:rPr>
        <w:t>、该项目为深耕中新生态城的第二个洋房住区，操盘团队对区域客源、产品定位、楼市状态、地产政策均有深刻的理解和清晰的操盘思路，利于项目快速开发、快速去化。</w:t>
      </w:r>
    </w:p>
    <w:p>
      <w:pPr>
        <w:spacing w:line="480" w:lineRule="auto"/>
        <w:ind w:firstLine="560" w:firstLineChars="200"/>
        <w:jc w:val="left"/>
        <w:rPr>
          <w:rFonts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3、开发进度</w:t>
      </w:r>
    </w:p>
    <w:p>
      <w:pPr>
        <w:autoSpaceDE w:val="0"/>
        <w:autoSpaceDN w:val="0"/>
        <w:adjustRightInd w:val="0"/>
        <w:ind w:firstLine="592" w:firstLineChars="200"/>
        <w:jc w:val="left"/>
        <w:rPr>
          <w:rFonts w:ascii="仿宋" w:hAnsi="仿宋" w:eastAsia="仿宋" w:cs="仿宋"/>
          <w:spacing w:val="8"/>
          <w:sz w:val="24"/>
          <w:szCs w:val="24"/>
        </w:rPr>
      </w:pPr>
      <w:r>
        <w:rPr>
          <w:rFonts w:hint="eastAsia" w:ascii="宋体" w:hAnsi="宋体" w:cs="仿宋"/>
          <w:spacing w:val="8"/>
          <w:sz w:val="28"/>
          <w:szCs w:val="28"/>
        </w:rPr>
        <w:t>项目已于2月份摘牌，计划3月份桩基施工，5月份开盘销售，2</w:t>
      </w:r>
      <w:r>
        <w:rPr>
          <w:rFonts w:ascii="宋体" w:hAnsi="宋体" w:cs="仿宋"/>
          <w:spacing w:val="8"/>
          <w:sz w:val="28"/>
          <w:szCs w:val="28"/>
        </w:rPr>
        <w:t>022</w:t>
      </w:r>
      <w:r>
        <w:rPr>
          <w:rFonts w:hint="eastAsia" w:ascii="宋体" w:hAnsi="宋体" w:cs="仿宋"/>
          <w:spacing w:val="8"/>
          <w:sz w:val="28"/>
          <w:szCs w:val="28"/>
        </w:rPr>
        <w:t>年4月3</w:t>
      </w:r>
      <w:r>
        <w:rPr>
          <w:rFonts w:ascii="宋体" w:hAnsi="宋体" w:cs="仿宋"/>
          <w:spacing w:val="8"/>
          <w:sz w:val="28"/>
          <w:szCs w:val="28"/>
        </w:rPr>
        <w:t>0</w:t>
      </w:r>
      <w:r>
        <w:rPr>
          <w:rFonts w:hint="eastAsia" w:ascii="宋体" w:hAnsi="宋体" w:cs="仿宋"/>
          <w:spacing w:val="8"/>
          <w:sz w:val="28"/>
          <w:szCs w:val="28"/>
        </w:rPr>
        <w:t>日主体封顶，2</w:t>
      </w:r>
      <w:r>
        <w:rPr>
          <w:rFonts w:ascii="宋体" w:hAnsi="宋体" w:cs="仿宋"/>
          <w:spacing w:val="8"/>
          <w:sz w:val="28"/>
          <w:szCs w:val="28"/>
        </w:rPr>
        <w:t>023</w:t>
      </w:r>
      <w:r>
        <w:rPr>
          <w:rFonts w:hint="eastAsia" w:ascii="宋体" w:hAnsi="宋体" w:cs="仿宋"/>
          <w:spacing w:val="8"/>
          <w:sz w:val="28"/>
          <w:szCs w:val="28"/>
        </w:rPr>
        <w:t>年6月3</w:t>
      </w:r>
      <w:r>
        <w:rPr>
          <w:rFonts w:ascii="宋体" w:hAnsi="宋体" w:cs="仿宋"/>
          <w:spacing w:val="8"/>
          <w:sz w:val="28"/>
          <w:szCs w:val="28"/>
        </w:rPr>
        <w:t>0</w:t>
      </w:r>
      <w:r>
        <w:rPr>
          <w:rFonts w:hint="eastAsia" w:ascii="宋体" w:hAnsi="宋体" w:cs="仿宋"/>
          <w:spacing w:val="8"/>
          <w:sz w:val="28"/>
          <w:szCs w:val="28"/>
        </w:rPr>
        <w:t>日交付使用。</w:t>
      </w:r>
    </w:p>
    <w:p>
      <w:pPr>
        <w:spacing w:line="360" w:lineRule="auto"/>
        <w:ind w:firstLine="672" w:firstLineChars="200"/>
        <w:jc w:val="left"/>
        <w:rPr>
          <w:rFonts w:ascii="仿宋" w:hAnsi="仿宋" w:eastAsia="仿宋" w:cs="仿宋"/>
          <w:spacing w:val="8"/>
          <w:sz w:val="24"/>
          <w:szCs w:val="24"/>
        </w:rPr>
      </w:pPr>
      <w:r>
        <w:rPr>
          <w:rFonts w:hint="eastAsia" w:ascii="仿宋" w:hAnsi="仿宋" w:eastAsia="仿宋" w:cs="仿宋"/>
          <w:b/>
          <w:spacing w:val="8"/>
          <w:sz w:val="32"/>
          <w:szCs w:val="24"/>
        </w:rPr>
        <w:t>三、项目市场分析</w:t>
      </w:r>
    </w:p>
    <w:p>
      <w:pPr>
        <w:autoSpaceDE w:val="0"/>
        <w:autoSpaceDN w:val="0"/>
        <w:adjustRightInd w:val="0"/>
        <w:ind w:firstLine="592" w:firstLineChars="200"/>
        <w:jc w:val="left"/>
        <w:rPr>
          <w:rFonts w:ascii="宋体" w:hAnsi="宋体" w:cs="仿宋"/>
          <w:spacing w:val="8"/>
          <w:sz w:val="28"/>
          <w:szCs w:val="28"/>
        </w:rPr>
      </w:pPr>
      <w:r>
        <w:rPr>
          <w:rFonts w:ascii="宋体" w:hAnsi="宋体" w:cs="仿宋"/>
          <w:spacing w:val="8"/>
          <w:sz w:val="28"/>
          <w:szCs w:val="28"/>
        </w:rPr>
        <w:t>1</w:t>
      </w:r>
      <w:r>
        <w:rPr>
          <w:rFonts w:hint="eastAsia" w:ascii="宋体" w:hAnsi="宋体" w:cs="仿宋"/>
          <w:spacing w:val="8"/>
          <w:sz w:val="28"/>
          <w:szCs w:val="28"/>
        </w:rPr>
        <w:t>、中新生态城作为中国与新加坡政府间合作开发的区域，近年来，随着中新生态城教育、医疗、商业、交通等配套设施逐步完善和生物制药、新能源产业、汽车制造、文旅与健康等产业的引进，生态城已成为滨海新区的热点板块，2</w:t>
      </w:r>
      <w:r>
        <w:rPr>
          <w:rFonts w:ascii="宋体" w:hAnsi="宋体" w:cs="仿宋"/>
          <w:spacing w:val="8"/>
          <w:sz w:val="28"/>
          <w:szCs w:val="28"/>
        </w:rPr>
        <w:t>018-2020</w:t>
      </w:r>
      <w:r>
        <w:rPr>
          <w:rFonts w:hint="eastAsia" w:ascii="宋体" w:hAnsi="宋体" w:cs="仿宋"/>
          <w:spacing w:val="8"/>
          <w:sz w:val="28"/>
          <w:szCs w:val="28"/>
        </w:rPr>
        <w:t>年商品住宅成交面积分别为7</w:t>
      </w:r>
      <w:r>
        <w:rPr>
          <w:rFonts w:ascii="宋体" w:hAnsi="宋体" w:cs="仿宋"/>
          <w:spacing w:val="8"/>
          <w:sz w:val="28"/>
          <w:szCs w:val="28"/>
        </w:rPr>
        <w:t>5.1</w:t>
      </w:r>
      <w:r>
        <w:rPr>
          <w:rFonts w:hint="eastAsia" w:ascii="宋体" w:hAnsi="宋体" w:cs="仿宋"/>
          <w:spacing w:val="8"/>
          <w:sz w:val="28"/>
          <w:szCs w:val="28"/>
        </w:rPr>
        <w:t>万㎡、1</w:t>
      </w:r>
      <w:r>
        <w:rPr>
          <w:rFonts w:ascii="宋体" w:hAnsi="宋体" w:cs="仿宋"/>
          <w:spacing w:val="8"/>
          <w:sz w:val="28"/>
          <w:szCs w:val="28"/>
        </w:rPr>
        <w:t>01.3</w:t>
      </w:r>
      <w:r>
        <w:rPr>
          <w:rFonts w:hint="eastAsia" w:ascii="宋体" w:hAnsi="宋体" w:cs="仿宋"/>
          <w:spacing w:val="8"/>
          <w:sz w:val="28"/>
          <w:szCs w:val="28"/>
        </w:rPr>
        <w:t>万㎡、7</w:t>
      </w:r>
      <w:r>
        <w:rPr>
          <w:rFonts w:ascii="宋体" w:hAnsi="宋体" w:cs="仿宋"/>
          <w:spacing w:val="8"/>
          <w:sz w:val="28"/>
          <w:szCs w:val="28"/>
        </w:rPr>
        <w:t>5.4</w:t>
      </w:r>
      <w:r>
        <w:rPr>
          <w:rFonts w:hint="eastAsia" w:ascii="宋体" w:hAnsi="宋体" w:cs="仿宋"/>
          <w:spacing w:val="8"/>
          <w:sz w:val="28"/>
          <w:szCs w:val="28"/>
        </w:rPr>
        <w:t>万㎡，在2</w:t>
      </w:r>
      <w:r>
        <w:rPr>
          <w:rFonts w:ascii="宋体" w:hAnsi="宋体" w:cs="仿宋"/>
          <w:spacing w:val="8"/>
          <w:sz w:val="28"/>
          <w:szCs w:val="28"/>
        </w:rPr>
        <w:t>020</w:t>
      </w:r>
      <w:r>
        <w:rPr>
          <w:rFonts w:hint="eastAsia" w:ascii="宋体" w:hAnsi="宋体" w:cs="仿宋"/>
          <w:spacing w:val="8"/>
          <w:sz w:val="28"/>
          <w:szCs w:val="28"/>
        </w:rPr>
        <w:t>年受疫情影响冲击较大的情况下，商品住宅成交量依旧与2</w:t>
      </w:r>
      <w:r>
        <w:rPr>
          <w:rFonts w:ascii="宋体" w:hAnsi="宋体" w:cs="仿宋"/>
          <w:spacing w:val="8"/>
          <w:sz w:val="28"/>
          <w:szCs w:val="28"/>
        </w:rPr>
        <w:t>018</w:t>
      </w:r>
      <w:r>
        <w:rPr>
          <w:rFonts w:hint="eastAsia" w:ascii="宋体" w:hAnsi="宋体" w:cs="仿宋"/>
          <w:spacing w:val="8"/>
          <w:sz w:val="28"/>
          <w:szCs w:val="28"/>
        </w:rPr>
        <w:t>年的成交量保持持平的状态。</w:t>
      </w:r>
    </w:p>
    <w:p>
      <w:pPr>
        <w:autoSpaceDE w:val="0"/>
        <w:autoSpaceDN w:val="0"/>
        <w:adjustRightInd w:val="0"/>
        <w:ind w:firstLine="592" w:firstLineChars="200"/>
        <w:jc w:val="left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2、从近1</w:t>
      </w:r>
      <w:r>
        <w:rPr>
          <w:rFonts w:ascii="宋体" w:hAnsi="宋体" w:cs="仿宋"/>
          <w:spacing w:val="8"/>
          <w:sz w:val="28"/>
          <w:szCs w:val="28"/>
        </w:rPr>
        <w:t>6</w:t>
      </w:r>
      <w:r>
        <w:rPr>
          <w:rFonts w:hint="eastAsia" w:ascii="宋体" w:hAnsi="宋体" w:cs="仿宋"/>
          <w:spacing w:val="8"/>
          <w:sz w:val="28"/>
          <w:szCs w:val="28"/>
        </w:rPr>
        <w:t>个月的成交量价走势看，2</w:t>
      </w:r>
      <w:r>
        <w:rPr>
          <w:rFonts w:ascii="宋体" w:hAnsi="宋体" w:cs="仿宋"/>
          <w:spacing w:val="8"/>
          <w:sz w:val="28"/>
          <w:szCs w:val="28"/>
        </w:rPr>
        <w:t>020</w:t>
      </w:r>
      <w:r>
        <w:rPr>
          <w:rFonts w:hint="eastAsia" w:ascii="宋体" w:hAnsi="宋体" w:cs="仿宋"/>
          <w:spacing w:val="8"/>
          <w:sz w:val="28"/>
          <w:szCs w:val="28"/>
        </w:rPr>
        <w:t>年9</w:t>
      </w:r>
      <w:r>
        <w:rPr>
          <w:rFonts w:ascii="宋体" w:hAnsi="宋体" w:cs="仿宋"/>
          <w:spacing w:val="8"/>
          <w:sz w:val="28"/>
          <w:szCs w:val="28"/>
        </w:rPr>
        <w:t>-12</w:t>
      </w:r>
      <w:r>
        <w:rPr>
          <w:rFonts w:hint="eastAsia" w:ascii="宋体" w:hAnsi="宋体" w:cs="仿宋"/>
          <w:spacing w:val="8"/>
          <w:sz w:val="28"/>
          <w:szCs w:val="28"/>
        </w:rPr>
        <w:t>月与2</w:t>
      </w:r>
      <w:r>
        <w:rPr>
          <w:rFonts w:ascii="宋体" w:hAnsi="宋体" w:cs="仿宋"/>
          <w:spacing w:val="8"/>
          <w:sz w:val="28"/>
          <w:szCs w:val="28"/>
        </w:rPr>
        <w:t>019</w:t>
      </w:r>
      <w:r>
        <w:rPr>
          <w:rFonts w:hint="eastAsia" w:ascii="宋体" w:hAnsi="宋体" w:cs="仿宋"/>
          <w:spacing w:val="8"/>
          <w:sz w:val="28"/>
          <w:szCs w:val="28"/>
        </w:rPr>
        <w:t>年同期相比，商品住宅成交态势呈现“量平价升”的态势。</w:t>
      </w:r>
      <w:r>
        <w:drawing>
          <wp:inline distT="0" distB="0" distL="0" distR="0">
            <wp:extent cx="5710555" cy="1687830"/>
            <wp:effectExtent l="0" t="0" r="444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0273" cy="1711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92" w:firstLineChars="200"/>
        <w:jc w:val="left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3、从近1</w:t>
      </w:r>
      <w:r>
        <w:rPr>
          <w:rFonts w:ascii="宋体" w:hAnsi="宋体" w:cs="仿宋"/>
          <w:spacing w:val="8"/>
          <w:sz w:val="28"/>
          <w:szCs w:val="28"/>
        </w:rPr>
        <w:t>6</w:t>
      </w:r>
      <w:r>
        <w:rPr>
          <w:rFonts w:hint="eastAsia" w:ascii="宋体" w:hAnsi="宋体" w:cs="仿宋"/>
          <w:spacing w:val="8"/>
          <w:sz w:val="28"/>
          <w:szCs w:val="28"/>
        </w:rPr>
        <w:t>个月的成交比重看，中新生态城基本保持在滨海新区3</w:t>
      </w:r>
      <w:r>
        <w:rPr>
          <w:rFonts w:ascii="宋体" w:hAnsi="宋体" w:cs="仿宋"/>
          <w:spacing w:val="8"/>
          <w:sz w:val="28"/>
          <w:szCs w:val="28"/>
        </w:rPr>
        <w:t>0</w:t>
      </w:r>
      <w:r>
        <w:rPr>
          <w:rFonts w:hint="eastAsia" w:ascii="宋体" w:hAnsi="宋体" w:cs="仿宋"/>
          <w:spacing w:val="8"/>
          <w:sz w:val="28"/>
          <w:szCs w:val="28"/>
        </w:rPr>
        <w:t>%左右的成交比重。</w:t>
      </w:r>
    </w:p>
    <w:p>
      <w:pPr>
        <w:autoSpaceDE w:val="0"/>
        <w:autoSpaceDN w:val="0"/>
        <w:adjustRightInd w:val="0"/>
        <w:jc w:val="left"/>
        <w:rPr>
          <w:rFonts w:ascii="宋体" w:hAnsi="宋体" w:cs="仿宋"/>
          <w:spacing w:val="8"/>
          <w:sz w:val="28"/>
          <w:szCs w:val="28"/>
        </w:rPr>
      </w:pPr>
      <w:r>
        <w:drawing>
          <wp:inline distT="0" distB="0" distL="0" distR="0">
            <wp:extent cx="5495925" cy="169354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92556" cy="172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firstLine="592" w:firstLineChars="200"/>
        <w:jc w:val="left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4、随着天津“海河英才引进计划”政策推出、天津积分落户政策放宽、滨海“两个中关村”政策出台，教育、交通等配套的进一步补足，中新生态城板块受到落户和居住改善需求客户的普遍关注，</w:t>
      </w:r>
      <w:r>
        <w:rPr>
          <w:rFonts w:ascii="宋体" w:hAnsi="宋体" w:cs="仿宋"/>
          <w:spacing w:val="8"/>
          <w:sz w:val="28"/>
          <w:szCs w:val="28"/>
        </w:rPr>
        <w:t xml:space="preserve"> 2020</w:t>
      </w:r>
      <w:r>
        <w:rPr>
          <w:rFonts w:hint="eastAsia" w:ascii="宋体" w:hAnsi="宋体" w:cs="仿宋"/>
          <w:spacing w:val="8"/>
          <w:sz w:val="28"/>
          <w:szCs w:val="28"/>
        </w:rPr>
        <w:t>年地产市场表现突出。雅居乐滨河雅郡项目开盘供应3</w:t>
      </w:r>
      <w:r>
        <w:rPr>
          <w:rFonts w:ascii="宋体" w:hAnsi="宋体" w:cs="仿宋"/>
          <w:spacing w:val="8"/>
          <w:sz w:val="28"/>
          <w:szCs w:val="28"/>
        </w:rPr>
        <w:t>14</w:t>
      </w:r>
      <w:r>
        <w:rPr>
          <w:rFonts w:hint="eastAsia" w:ascii="宋体" w:hAnsi="宋体" w:cs="仿宋"/>
          <w:spacing w:val="8"/>
          <w:sz w:val="28"/>
          <w:szCs w:val="28"/>
        </w:rPr>
        <w:t>套房源，两天内认购去化7</w:t>
      </w:r>
      <w:r>
        <w:rPr>
          <w:rFonts w:ascii="宋体" w:hAnsi="宋体" w:cs="仿宋"/>
          <w:spacing w:val="8"/>
          <w:sz w:val="28"/>
          <w:szCs w:val="28"/>
        </w:rPr>
        <w:t>2</w:t>
      </w:r>
      <w:r>
        <w:rPr>
          <w:rFonts w:hint="eastAsia" w:ascii="宋体" w:hAnsi="宋体" w:cs="仿宋"/>
          <w:spacing w:val="8"/>
          <w:sz w:val="28"/>
          <w:szCs w:val="28"/>
        </w:rPr>
        <w:t>%；融创观澜壹号项目开盘供应1</w:t>
      </w:r>
      <w:r>
        <w:rPr>
          <w:rFonts w:ascii="宋体" w:hAnsi="宋体" w:cs="仿宋"/>
          <w:spacing w:val="8"/>
          <w:sz w:val="28"/>
          <w:szCs w:val="28"/>
        </w:rPr>
        <w:t>43</w:t>
      </w:r>
      <w:r>
        <w:rPr>
          <w:rFonts w:hint="eastAsia" w:ascii="宋体" w:hAnsi="宋体" w:cs="仿宋"/>
          <w:spacing w:val="8"/>
          <w:sz w:val="28"/>
          <w:szCs w:val="28"/>
        </w:rPr>
        <w:t>套房源，两天内认购去化8</w:t>
      </w:r>
      <w:r>
        <w:rPr>
          <w:rFonts w:ascii="宋体" w:hAnsi="宋体" w:cs="仿宋"/>
          <w:spacing w:val="8"/>
          <w:sz w:val="28"/>
          <w:szCs w:val="28"/>
        </w:rPr>
        <w:t>6</w:t>
      </w:r>
      <w:r>
        <w:rPr>
          <w:rFonts w:hint="eastAsia" w:ascii="宋体" w:hAnsi="宋体" w:cs="仿宋"/>
          <w:spacing w:val="8"/>
          <w:sz w:val="28"/>
          <w:szCs w:val="28"/>
        </w:rPr>
        <w:t>%；滨旅景熙项目开盘供应1</w:t>
      </w:r>
      <w:r>
        <w:rPr>
          <w:rFonts w:ascii="宋体" w:hAnsi="宋体" w:cs="仿宋"/>
          <w:spacing w:val="8"/>
          <w:sz w:val="28"/>
          <w:szCs w:val="28"/>
        </w:rPr>
        <w:t>86</w:t>
      </w:r>
      <w:r>
        <w:rPr>
          <w:rFonts w:hint="eastAsia" w:ascii="宋体" w:hAnsi="宋体" w:cs="仿宋"/>
          <w:spacing w:val="8"/>
          <w:sz w:val="28"/>
          <w:szCs w:val="28"/>
        </w:rPr>
        <w:t>套房源，两天内认购去化5</w:t>
      </w:r>
      <w:r>
        <w:rPr>
          <w:rFonts w:ascii="宋体" w:hAnsi="宋体" w:cs="仿宋"/>
          <w:spacing w:val="8"/>
          <w:sz w:val="28"/>
          <w:szCs w:val="28"/>
        </w:rPr>
        <w:t>7</w:t>
      </w:r>
      <w:r>
        <w:rPr>
          <w:rFonts w:hint="eastAsia" w:ascii="宋体" w:hAnsi="宋体" w:cs="仿宋"/>
          <w:spacing w:val="8"/>
          <w:sz w:val="28"/>
          <w:szCs w:val="28"/>
        </w:rPr>
        <w:t>%。</w:t>
      </w:r>
    </w:p>
    <w:p>
      <w:pPr>
        <w:autoSpaceDE w:val="0"/>
        <w:autoSpaceDN w:val="0"/>
        <w:adjustRightInd w:val="0"/>
        <w:ind w:firstLine="592" w:firstLineChars="200"/>
        <w:jc w:val="left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5、2</w:t>
      </w:r>
      <w:r>
        <w:rPr>
          <w:rFonts w:ascii="宋体" w:hAnsi="宋体" w:cs="仿宋"/>
          <w:spacing w:val="8"/>
          <w:sz w:val="28"/>
          <w:szCs w:val="28"/>
        </w:rPr>
        <w:t>020</w:t>
      </w:r>
      <w:r>
        <w:rPr>
          <w:rFonts w:hint="eastAsia" w:ascii="宋体" w:hAnsi="宋体" w:cs="仿宋"/>
          <w:spacing w:val="8"/>
          <w:sz w:val="28"/>
          <w:szCs w:val="28"/>
        </w:rPr>
        <w:t>年随着“滨城”概念的首次提出，滨海房地产部分政策放款，落户政策试行京冀户口通迁、居住证互认制度，而中新生态城人才政策、教育资源叠加效应优势突出，中新生态城势必迎来新的发展机会，同步促进地产市场发展，地产市场机会明显。</w:t>
      </w:r>
    </w:p>
    <w:p>
      <w:pPr>
        <w:autoSpaceDE w:val="0"/>
        <w:autoSpaceDN w:val="0"/>
        <w:adjustRightInd w:val="0"/>
        <w:ind w:firstLine="592" w:firstLineChars="200"/>
        <w:jc w:val="left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6、目标地块地处生态城北部/滨旅片区，地块附近拥有高校、1</w:t>
      </w:r>
      <w:r>
        <w:rPr>
          <w:rFonts w:ascii="宋体" w:hAnsi="宋体" w:cs="仿宋"/>
          <w:spacing w:val="8"/>
          <w:sz w:val="28"/>
          <w:szCs w:val="28"/>
        </w:rPr>
        <w:t>2</w:t>
      </w:r>
      <w:r>
        <w:rPr>
          <w:rFonts w:hint="eastAsia" w:ascii="宋体" w:hAnsi="宋体" w:cs="仿宋"/>
          <w:spacing w:val="8"/>
          <w:sz w:val="28"/>
          <w:szCs w:val="28"/>
        </w:rPr>
        <w:t>年制学校、产业园区、轻轨Z</w:t>
      </w:r>
      <w:r>
        <w:rPr>
          <w:rFonts w:ascii="宋体" w:hAnsi="宋体" w:cs="仿宋"/>
          <w:spacing w:val="8"/>
          <w:sz w:val="28"/>
          <w:szCs w:val="28"/>
        </w:rPr>
        <w:t>4</w:t>
      </w:r>
      <w:r>
        <w:rPr>
          <w:rFonts w:hint="eastAsia" w:ascii="宋体" w:hAnsi="宋体" w:cs="仿宋"/>
          <w:spacing w:val="8"/>
          <w:sz w:val="28"/>
          <w:szCs w:val="28"/>
        </w:rPr>
        <w:t>线站口、澜清溪公园、航母公园等配套设施，具备多项优势条件，地块选址优异。</w:t>
      </w:r>
    </w:p>
    <w:p>
      <w:pPr>
        <w:spacing w:line="360" w:lineRule="auto"/>
        <w:ind w:firstLine="672" w:firstLineChars="200"/>
        <w:jc w:val="left"/>
        <w:rPr>
          <w:rFonts w:cs="仿宋" w:asciiTheme="minorEastAsia" w:hAnsiTheme="minorEastAsia"/>
          <w:b/>
          <w:bCs/>
          <w:spacing w:val="8"/>
          <w:sz w:val="24"/>
          <w:szCs w:val="24"/>
        </w:rPr>
      </w:pPr>
      <w:r>
        <w:rPr>
          <w:rFonts w:hint="eastAsia" w:cs="仿宋" w:asciiTheme="minorEastAsia" w:hAnsiTheme="minorEastAsia"/>
          <w:b/>
          <w:spacing w:val="8"/>
          <w:sz w:val="32"/>
          <w:szCs w:val="24"/>
        </w:rPr>
        <w:t>四、项目投资分析</w:t>
      </w:r>
    </w:p>
    <w:p>
      <w:pPr>
        <w:spacing w:line="360" w:lineRule="auto"/>
        <w:ind w:firstLine="592" w:firstLineChars="200"/>
        <w:rPr>
          <w:rFonts w:cs="仿宋" w:asciiTheme="minorEastAsia" w:hAnsiTheme="minorEastAsia"/>
          <w:b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b/>
          <w:spacing w:val="8"/>
          <w:sz w:val="28"/>
          <w:szCs w:val="28"/>
        </w:rPr>
        <w:t>（一）投资与静态收益分析</w:t>
      </w:r>
    </w:p>
    <w:p>
      <w:pPr>
        <w:autoSpaceDE w:val="0"/>
        <w:autoSpaceDN w:val="0"/>
        <w:adjustRightInd w:val="0"/>
        <w:ind w:firstLine="592" w:firstLineChars="200"/>
        <w:jc w:val="left"/>
        <w:rPr>
          <w:rFonts w:ascii="宋体" w:hAnsi="宋体" w:cs="仿宋"/>
          <w:spacing w:val="8"/>
          <w:sz w:val="28"/>
          <w:szCs w:val="28"/>
        </w:rPr>
      </w:pPr>
      <w:r>
        <w:rPr>
          <w:rFonts w:hint="eastAsia" w:ascii="宋体" w:hAnsi="宋体" w:cs="仿宋"/>
          <w:spacing w:val="8"/>
          <w:sz w:val="28"/>
          <w:szCs w:val="28"/>
        </w:rPr>
        <w:t>澜清学府地块，土地成本(含税、测绘)5.79亿，建设总投资13.88亿，税后利润1.38亿，净利润9.37%，投资明细如下：</w:t>
      </w:r>
    </w:p>
    <w:tbl>
      <w:tblPr>
        <w:tblStyle w:val="6"/>
        <w:tblW w:w="9773" w:type="dxa"/>
        <w:tblInd w:w="-549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9"/>
        <w:gridCol w:w="1701"/>
        <w:gridCol w:w="2410"/>
        <w:gridCol w:w="1276"/>
        <w:gridCol w:w="1276"/>
        <w:gridCol w:w="1134"/>
        <w:gridCol w:w="141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59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>项目</w:t>
            </w:r>
          </w:p>
        </w:tc>
        <w:tc>
          <w:tcPr>
            <w:tcW w:w="241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>计算指标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>综合单价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>(元/M2)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>计算基数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>(万M2)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>建筑单价(元/M2)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 xml:space="preserve"> 总价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 xml:space="preserve">(万元)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土地费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57,964.55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涉企收费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180.69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2,892.67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项目前期费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包括可研、设计勘查、交评环评等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76.40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1,223.03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基础设施费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按建筑面积0元/m2计取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587.97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9,412.79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工程建设费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3304.09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52,895.12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开发期间税费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按综合取费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60.75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972.58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不可预见费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（2～6）×1%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1.00%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67396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42.10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673.96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管理费用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按预计售价1.5%计取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1.50%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160918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150.78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2,413.77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销售费用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按预计售价3.0%计取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3.00%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160918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301.55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4,827.55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财务费用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详见财务费用计算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350.02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5,603.52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建设总投资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以上费用合计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8675.09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138,879.56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预计销售收入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10051.74 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160,918.28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增值税及附加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按照正常比例计算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3,598.99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土地增值税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按综合取费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-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税前利润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（12-11-13-14+15）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18,439.73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所得税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税前利润×0%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4,609.93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税后利润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税前利润－所得税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13,829.80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投资净利润率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税后利润</w:t>
            </w:r>
            <w:r>
              <w:rPr>
                <w:rStyle w:val="15"/>
                <w:rFonts w:eastAsia="宋体"/>
                <w:bCs/>
                <w:lang w:bidi="ar"/>
              </w:rPr>
              <w:t>/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（建设总投资）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9.96%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销售净利润率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税后利润</w:t>
            </w:r>
            <w:r>
              <w:rPr>
                <w:rStyle w:val="15"/>
                <w:rFonts w:eastAsia="宋体"/>
                <w:bCs/>
                <w:lang w:bidi="ar"/>
              </w:rPr>
              <w:t>/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0"/>
                <w:szCs w:val="20"/>
                <w:lang w:bidi="ar"/>
              </w:rPr>
              <w:t>预计售价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20"/>
                <w:szCs w:val="20"/>
                <w:lang w:bidi="ar"/>
              </w:rPr>
              <w:t>9.37%</w:t>
            </w:r>
          </w:p>
        </w:tc>
      </w:tr>
    </w:tbl>
    <w:p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</w:p>
    <w:p>
      <w:pPr>
        <w:spacing w:line="360" w:lineRule="auto"/>
        <w:ind w:firstLine="592" w:firstLineChars="200"/>
        <w:rPr>
          <w:rFonts w:cs="仿宋" w:asciiTheme="minorEastAsia" w:hAnsiTheme="minorEastAsia"/>
          <w:b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b/>
          <w:spacing w:val="8"/>
          <w:sz w:val="28"/>
          <w:szCs w:val="28"/>
        </w:rPr>
        <w:t>（二）项目收益分析</w:t>
      </w: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spacing w:val="8"/>
          <w:sz w:val="28"/>
          <w:szCs w:val="28"/>
        </w:rPr>
        <w:t>总销售面积11.28万平米，销售收入16.1亿。计划 2021年销售5.64万平米，实现收入7.38亿； 计划2022年销售5.64万平米，实现收入7.94亿。车位销售周期19个月，销售0.7</w:t>
      </w:r>
      <w:r>
        <w:rPr>
          <w:rFonts w:cs="仿宋" w:asciiTheme="minorEastAsia" w:hAnsiTheme="minorEastAsia"/>
          <w:spacing w:val="8"/>
          <w:sz w:val="28"/>
          <w:szCs w:val="28"/>
        </w:rPr>
        <w:t>72</w:t>
      </w:r>
      <w:r>
        <w:rPr>
          <w:rFonts w:hint="eastAsia" w:cs="仿宋" w:asciiTheme="minorEastAsia" w:hAnsiTheme="minorEastAsia"/>
          <w:spacing w:val="8"/>
          <w:sz w:val="28"/>
          <w:szCs w:val="28"/>
        </w:rPr>
        <w:t>亿。</w:t>
      </w:r>
    </w:p>
    <w:tbl>
      <w:tblPr>
        <w:tblStyle w:val="6"/>
        <w:tblW w:w="8355" w:type="dxa"/>
        <w:tblCellSpacing w:w="0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104"/>
        <w:gridCol w:w="1277"/>
        <w:gridCol w:w="1277"/>
        <w:gridCol w:w="743"/>
        <w:gridCol w:w="861"/>
        <w:gridCol w:w="2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733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建筑类型</w:t>
            </w: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数据指标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2021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2022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合计</w:t>
            </w:r>
          </w:p>
        </w:tc>
        <w:tc>
          <w:tcPr>
            <w:tcW w:w="775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销售均价</w:t>
            </w:r>
          </w:p>
        </w:tc>
        <w:tc>
          <w:tcPr>
            <w:tcW w:w="2633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tblCellSpacing w:w="0" w:type="dxa"/>
        </w:trPr>
        <w:tc>
          <w:tcPr>
            <w:tcW w:w="733" w:type="dxa"/>
            <w:vMerge w:val="restart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住宅</w:t>
            </w: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销售面积（㎡）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56410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56410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112820</w:t>
            </w:r>
          </w:p>
        </w:tc>
        <w:tc>
          <w:tcPr>
            <w:tcW w:w="775" w:type="dxa"/>
            <w:vMerge w:val="restart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13579</w:t>
            </w:r>
          </w:p>
        </w:tc>
        <w:tc>
          <w:tcPr>
            <w:tcW w:w="2633" w:type="dxa"/>
            <w:vMerge w:val="restart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2021年5月份首开，分两次开盘，全年去化46%，销售金额7.38亿元；</w:t>
            </w:r>
          </w:p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2022年分两次开盘，全年去化</w:t>
            </w:r>
            <w:r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7.94</w:t>
            </w: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亿元。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tblCellSpacing w:w="0" w:type="dxa"/>
        </w:trPr>
        <w:tc>
          <w:tcPr>
            <w:tcW w:w="733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面积比例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50%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50%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100%</w:t>
            </w:r>
          </w:p>
        </w:tc>
        <w:tc>
          <w:tcPr>
            <w:tcW w:w="775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  <w:tc>
          <w:tcPr>
            <w:tcW w:w="2633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tblCellSpacing w:w="0" w:type="dxa"/>
        </w:trPr>
        <w:tc>
          <w:tcPr>
            <w:tcW w:w="733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预估单价（元/㎡）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13086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14072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</w:p>
        </w:tc>
        <w:tc>
          <w:tcPr>
            <w:tcW w:w="775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  <w:tc>
          <w:tcPr>
            <w:tcW w:w="2633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tblCellSpacing w:w="0" w:type="dxa"/>
        </w:trPr>
        <w:tc>
          <w:tcPr>
            <w:tcW w:w="733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销售个数（个）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386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579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965</w:t>
            </w:r>
          </w:p>
        </w:tc>
        <w:tc>
          <w:tcPr>
            <w:tcW w:w="775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</w:p>
        </w:tc>
        <w:tc>
          <w:tcPr>
            <w:tcW w:w="2633" w:type="dxa"/>
            <w:vMerge w:val="restart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车位80000元/个</w:t>
            </w:r>
          </w:p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2021年去化40%；</w:t>
            </w:r>
          </w:p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2022年去化60%。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tblCellSpacing w:w="0" w:type="dxa"/>
        </w:trPr>
        <w:tc>
          <w:tcPr>
            <w:tcW w:w="733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车位</w:t>
            </w: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数量比例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40%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600%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100%</w:t>
            </w:r>
          </w:p>
        </w:tc>
        <w:tc>
          <w:tcPr>
            <w:tcW w:w="775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80000</w:t>
            </w:r>
          </w:p>
        </w:tc>
        <w:tc>
          <w:tcPr>
            <w:tcW w:w="2633" w:type="dxa"/>
            <w:vMerge w:val="continue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tblCellSpacing w:w="0" w:type="dxa"/>
        </w:trPr>
        <w:tc>
          <w:tcPr>
            <w:tcW w:w="733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预估单价（元/个）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80000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80000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</w:p>
        </w:tc>
        <w:tc>
          <w:tcPr>
            <w:tcW w:w="775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</w:p>
        </w:tc>
        <w:tc>
          <w:tcPr>
            <w:tcW w:w="2633" w:type="dxa"/>
            <w:vMerge w:val="continue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</w:trPr>
        <w:tc>
          <w:tcPr>
            <w:tcW w:w="733" w:type="dxa"/>
            <w:vMerge w:val="restart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年度销售预估</w:t>
            </w: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销售面积（㎡）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56410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56410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112820</w:t>
            </w:r>
          </w:p>
        </w:tc>
        <w:tc>
          <w:tcPr>
            <w:tcW w:w="775" w:type="dxa"/>
            <w:vMerge w:val="restart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----</w:t>
            </w:r>
          </w:p>
        </w:tc>
        <w:tc>
          <w:tcPr>
            <w:tcW w:w="2633" w:type="dxa"/>
            <w:vMerge w:val="restart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  <w:tblCellSpacing w:w="0" w:type="dxa"/>
        </w:trPr>
        <w:tc>
          <w:tcPr>
            <w:tcW w:w="733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销售额（亿元）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7.38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7.94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16.1</w:t>
            </w:r>
          </w:p>
        </w:tc>
        <w:tc>
          <w:tcPr>
            <w:tcW w:w="775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  <w:shd w:val="clear" w:color="auto" w:fill="FFFFFF" w:themeFill="background1"/>
              </w:rPr>
            </w:pPr>
          </w:p>
        </w:tc>
        <w:tc>
          <w:tcPr>
            <w:tcW w:w="2633" w:type="dxa"/>
            <w:vMerge w:val="continue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  <w:shd w:val="clear" w:color="auto" w:fill="FFFFFF" w:themeFill="background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  <w:tblCellSpacing w:w="0" w:type="dxa"/>
        </w:trPr>
        <w:tc>
          <w:tcPr>
            <w:tcW w:w="733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  <w:shd w:val="clear" w:color="auto" w:fill="FFFFFF" w:themeFill="background1"/>
              </w:rPr>
            </w:pPr>
          </w:p>
        </w:tc>
        <w:tc>
          <w:tcPr>
            <w:tcW w:w="1166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销售单价（元/㎡）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13086/80000</w:t>
            </w:r>
          </w:p>
        </w:tc>
        <w:tc>
          <w:tcPr>
            <w:tcW w:w="1150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  <w:t>14073/80000</w:t>
            </w:r>
          </w:p>
        </w:tc>
        <w:tc>
          <w:tcPr>
            <w:tcW w:w="748" w:type="dxa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" w:hAnsi="仿宋" w:eastAsia="仿宋" w:cs="仿宋"/>
                <w:spacing w:val="8"/>
                <w:kern w:val="2"/>
                <w:sz w:val="21"/>
                <w:szCs w:val="21"/>
                <w:shd w:val="clear" w:color="auto" w:fill="FFFFFF" w:themeFill="background1"/>
              </w:rPr>
            </w:pPr>
          </w:p>
        </w:tc>
        <w:tc>
          <w:tcPr>
            <w:tcW w:w="775" w:type="dxa"/>
            <w:vMerge w:val="continue"/>
            <w:shd w:val="clear" w:color="auto" w:fill="FFFFFF" w:themeFill="background1"/>
            <w:tcMar>
              <w:top w:w="69" w:type="dxa"/>
              <w:left w:w="138" w:type="dxa"/>
              <w:bottom w:w="69" w:type="dxa"/>
              <w:right w:w="138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  <w:shd w:val="clear" w:color="auto" w:fill="FFFFFF" w:themeFill="background1"/>
              </w:rPr>
            </w:pPr>
          </w:p>
        </w:tc>
        <w:tc>
          <w:tcPr>
            <w:tcW w:w="2633" w:type="dxa"/>
            <w:vMerge w:val="continue"/>
            <w:shd w:val="clear" w:color="auto" w:fill="FFFFFF" w:themeFill="background1"/>
            <w:tcMar>
              <w:top w:w="7" w:type="dxa"/>
              <w:left w:w="7" w:type="dxa"/>
              <w:right w:w="7" w:type="dxa"/>
            </w:tcMar>
            <w:vAlign w:val="center"/>
          </w:tcPr>
          <w:p>
            <w:pPr>
              <w:jc w:val="center"/>
              <w:rPr>
                <w:rFonts w:ascii="宋体"/>
                <w:szCs w:val="21"/>
                <w:shd w:val="clear" w:color="auto" w:fill="FFFFFF" w:themeFill="background1"/>
              </w:rPr>
            </w:pPr>
          </w:p>
        </w:tc>
      </w:tr>
    </w:tbl>
    <w:p>
      <w:pPr>
        <w:spacing w:line="360" w:lineRule="auto"/>
        <w:ind w:firstLine="452" w:firstLineChars="200"/>
        <w:jc w:val="center"/>
        <w:rPr>
          <w:rFonts w:ascii="仿宋" w:hAnsi="仿宋" w:eastAsia="仿宋" w:cs="仿宋"/>
          <w:spacing w:val="8"/>
          <w:szCs w:val="21"/>
          <w:shd w:val="clear" w:color="auto" w:fill="FFFFFF" w:themeFill="background1"/>
        </w:rPr>
      </w:pPr>
    </w:p>
    <w:p>
      <w:pPr>
        <w:spacing w:line="360" w:lineRule="auto"/>
        <w:ind w:firstLine="560" w:firstLineChars="200"/>
        <w:jc w:val="left"/>
        <w:rPr>
          <w:rFonts w:cs="仿宋" w:asciiTheme="minorEastAsia" w:hAnsiTheme="minorEastAsia"/>
          <w:b/>
          <w:sz w:val="28"/>
          <w:szCs w:val="28"/>
        </w:rPr>
      </w:pPr>
      <w:r>
        <w:rPr>
          <w:rFonts w:hint="eastAsia" w:cs="仿宋" w:asciiTheme="minorEastAsia" w:hAnsiTheme="minorEastAsia"/>
          <w:b/>
          <w:sz w:val="28"/>
          <w:szCs w:val="28"/>
        </w:rPr>
        <w:t>五、融资计划</w:t>
      </w: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spacing w:val="8"/>
          <w:sz w:val="28"/>
          <w:szCs w:val="28"/>
        </w:rPr>
        <w:t>1、资金需求：申请项目贷款40</w:t>
      </w:r>
      <w:r>
        <w:rPr>
          <w:rFonts w:hint="eastAsia" w:cs="仿宋" w:asciiTheme="minorEastAsia" w:hAnsiTheme="minorEastAsia"/>
          <w:spacing w:val="8"/>
          <w:sz w:val="28"/>
          <w:szCs w:val="28"/>
          <w:lang w:val="en-US" w:eastAsia="zh-CN"/>
        </w:rPr>
        <w:t>500</w:t>
      </w:r>
      <w:bookmarkStart w:id="0" w:name="_GoBack"/>
      <w:bookmarkEnd w:id="0"/>
      <w:r>
        <w:rPr>
          <w:rFonts w:hint="eastAsia" w:cs="仿宋" w:asciiTheme="minorEastAsia" w:hAnsiTheme="minorEastAsia"/>
          <w:spacing w:val="8"/>
          <w:sz w:val="28"/>
          <w:szCs w:val="28"/>
        </w:rPr>
        <w:t>万元，4月1</w:t>
      </w:r>
      <w:r>
        <w:rPr>
          <w:rFonts w:cs="仿宋" w:asciiTheme="minorEastAsia" w:hAnsiTheme="minorEastAsia"/>
          <w:spacing w:val="8"/>
          <w:sz w:val="28"/>
          <w:szCs w:val="28"/>
        </w:rPr>
        <w:t>0</w:t>
      </w:r>
      <w:r>
        <w:rPr>
          <w:rFonts w:hint="eastAsia" w:cs="仿宋" w:asciiTheme="minorEastAsia" w:hAnsiTheme="minorEastAsia"/>
          <w:spacing w:val="8"/>
          <w:sz w:val="28"/>
          <w:szCs w:val="28"/>
        </w:rPr>
        <w:t>日资金到位，期限2年；</w:t>
      </w: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spacing w:val="8"/>
          <w:sz w:val="28"/>
          <w:szCs w:val="28"/>
        </w:rPr>
        <w:t>2、用途:用于澜清学府土地</w:t>
      </w:r>
      <w:r>
        <w:rPr>
          <w:rFonts w:cs="仿宋" w:asciiTheme="minorEastAsia" w:hAnsiTheme="minorEastAsia"/>
          <w:spacing w:val="8"/>
          <w:sz w:val="28"/>
          <w:szCs w:val="28"/>
        </w:rPr>
        <w:t>65</w:t>
      </w:r>
      <w:r>
        <w:rPr>
          <w:rFonts w:hint="eastAsia" w:cs="仿宋" w:asciiTheme="minorEastAsia" w:hAnsiTheme="minorEastAsia"/>
          <w:spacing w:val="8"/>
          <w:sz w:val="28"/>
          <w:szCs w:val="28"/>
        </w:rPr>
        <w:t>%出让金及税费缴纳；</w:t>
      </w: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spacing w:val="8"/>
          <w:sz w:val="28"/>
          <w:szCs w:val="28"/>
        </w:rPr>
        <w:t>3、还款来源：销售回款；</w:t>
      </w:r>
    </w:p>
    <w:tbl>
      <w:tblPr>
        <w:tblStyle w:val="6"/>
        <w:tblW w:w="854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040"/>
        <w:gridCol w:w="104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项目</w:t>
            </w:r>
          </w:p>
        </w:tc>
        <w:tc>
          <w:tcPr>
            <w:tcW w:w="72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计算期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</w:p>
        </w:tc>
        <w:tc>
          <w:tcPr>
            <w:tcW w:w="31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2021年</w:t>
            </w:r>
          </w:p>
        </w:tc>
        <w:tc>
          <w:tcPr>
            <w:tcW w:w="4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2022年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2季度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3季度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4季度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1季度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2季度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3季度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Cs w:val="21"/>
              </w:rPr>
              <w:t>4季度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>当期还本付息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1,516.24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6,328.74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10,796.65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1,296.65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1,296.65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10,796.65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16,729.65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>其中：还本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5,000.00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9,500.00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8"/>
                <w:szCs w:val="21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10,000.00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15,933.00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>付息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1,516.24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1,328.74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1,296.65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1,296.65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1,296.65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796.65 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pacing w:val="8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Cs w:val="21"/>
              </w:rPr>
              <w:t xml:space="preserve">796.65 </w:t>
            </w:r>
          </w:p>
        </w:tc>
      </w:tr>
    </w:tbl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spacing w:val="8"/>
          <w:sz w:val="28"/>
          <w:szCs w:val="28"/>
        </w:rPr>
        <w:t>4、增信措施：</w:t>
      </w: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spacing w:val="8"/>
          <w:sz w:val="28"/>
          <w:szCs w:val="28"/>
        </w:rPr>
        <w:t>（1）开立销售回款专户，用于项目收支监控和还本付息；</w:t>
      </w: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spacing w:val="8"/>
          <w:sz w:val="28"/>
          <w:szCs w:val="28"/>
        </w:rPr>
        <w:t>（2）项目115.29亩土地；</w:t>
      </w: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spacing w:val="8"/>
          <w:sz w:val="28"/>
          <w:szCs w:val="28"/>
        </w:rPr>
        <w:t>（3）金威建设集团有限公司提供连带担保。</w:t>
      </w: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</w:p>
    <w:p>
      <w:pPr>
        <w:spacing w:line="360" w:lineRule="auto"/>
        <w:ind w:firstLine="592" w:firstLineChars="200"/>
        <w:rPr>
          <w:rFonts w:cs="仿宋" w:asciiTheme="minorEastAsia" w:hAnsiTheme="minorEastAsia"/>
          <w:spacing w:val="8"/>
          <w:sz w:val="28"/>
          <w:szCs w:val="28"/>
        </w:rPr>
      </w:pPr>
    </w:p>
    <w:p>
      <w:pPr>
        <w:spacing w:line="360" w:lineRule="auto"/>
        <w:ind w:firstLine="512" w:firstLineChars="200"/>
        <w:rPr>
          <w:rFonts w:ascii="仿宋" w:hAnsi="仿宋" w:eastAsia="仿宋" w:cs="仿宋"/>
          <w:spacing w:val="8"/>
          <w:sz w:val="24"/>
          <w:szCs w:val="24"/>
        </w:rPr>
      </w:pPr>
    </w:p>
    <w:p>
      <w:pPr>
        <w:spacing w:line="360" w:lineRule="auto"/>
        <w:ind w:firstLine="512" w:firstLineChars="200"/>
        <w:rPr>
          <w:rFonts w:ascii="仿宋" w:hAnsi="仿宋" w:eastAsia="仿宋" w:cs="仿宋"/>
          <w:spacing w:val="8"/>
          <w:sz w:val="24"/>
          <w:szCs w:val="24"/>
        </w:rPr>
      </w:pPr>
    </w:p>
    <w:p>
      <w:pPr>
        <w:spacing w:line="360" w:lineRule="auto"/>
        <w:ind w:firstLine="592" w:firstLineChars="200"/>
        <w:jc w:val="right"/>
        <w:rPr>
          <w:rFonts w:cs="仿宋" w:asciiTheme="minorEastAsia" w:hAnsiTheme="minorEastAsia"/>
          <w:spacing w:val="8"/>
          <w:sz w:val="28"/>
          <w:szCs w:val="28"/>
        </w:rPr>
      </w:pPr>
    </w:p>
    <w:p>
      <w:pPr>
        <w:spacing w:line="360" w:lineRule="auto"/>
        <w:ind w:firstLine="592" w:firstLineChars="200"/>
        <w:jc w:val="right"/>
        <w:rPr>
          <w:rFonts w:cs="仿宋" w:asciiTheme="minorEastAsia" w:hAnsiTheme="minorEastAsia"/>
          <w:spacing w:val="8"/>
          <w:sz w:val="28"/>
          <w:szCs w:val="28"/>
        </w:rPr>
      </w:pPr>
      <w:r>
        <w:rPr>
          <w:rFonts w:hint="eastAsia" w:cs="仿宋" w:asciiTheme="minorEastAsia" w:hAnsiTheme="minorEastAsia"/>
          <w:spacing w:val="8"/>
          <w:sz w:val="28"/>
          <w:szCs w:val="28"/>
        </w:rPr>
        <w:t>天津亿金房地产开发有限公司</w:t>
      </w:r>
    </w:p>
    <w:p>
      <w:pPr>
        <w:spacing w:line="360" w:lineRule="auto"/>
        <w:ind w:right="808" w:firstLine="592" w:firstLineChars="200"/>
        <w:jc w:val="right"/>
        <w:rPr>
          <w:rFonts w:cs="仿宋" w:asciiTheme="minorEastAsia" w:hAnsiTheme="minorEastAsia"/>
          <w:spacing w:val="8"/>
          <w:sz w:val="28"/>
          <w:szCs w:val="28"/>
        </w:rPr>
        <w:sectPr>
          <w:headerReference r:id="rId3" w:type="default"/>
          <w:pgSz w:w="11906" w:h="16838"/>
          <w:pgMar w:top="1440" w:right="1758" w:bottom="1440" w:left="1758" w:header="851" w:footer="992" w:gutter="0"/>
          <w:cols w:space="425" w:num="1"/>
          <w:docGrid w:type="linesAndChars" w:linePitch="312" w:charSpace="0"/>
        </w:sectPr>
      </w:pPr>
      <w:r>
        <w:rPr>
          <w:rFonts w:cs="仿宋" w:asciiTheme="minorEastAsia" w:hAnsiTheme="minorEastAsia"/>
          <w:spacing w:val="8"/>
          <w:sz w:val="28"/>
          <w:szCs w:val="28"/>
        </w:rPr>
        <w:t>2021年2月20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sectPr>
      <w:pgSz w:w="16838" w:h="11906" w:orient="landscape"/>
      <w:pgMar w:top="1758" w:right="1440" w:bottom="1758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4"/>
      <w:jc w:val="left"/>
    </w:pPr>
    <w:r>
      <w:drawing>
        <wp:inline distT="0" distB="0" distL="114300" distR="114300">
          <wp:extent cx="749935" cy="372110"/>
          <wp:effectExtent l="0" t="0" r="0" b="8890"/>
          <wp:docPr id="4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5"/>
                  <pic:cNvPicPr>
                    <a:picLocks noChangeAspect="1"/>
                  </pic:cNvPicPr>
                </pic:nvPicPr>
                <pic:blipFill>
                  <a:blip r:embed="rId1" cstate="screen"/>
                  <a:stretch>
                    <a:fillRect/>
                  </a:stretch>
                </pic:blipFill>
                <pic:spPr>
                  <a:xfrm>
                    <a:off x="0" y="0"/>
                    <a:ext cx="754826" cy="3745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16BF7"/>
    <w:multiLevelType w:val="multilevel"/>
    <w:tmpl w:val="5B616BF7"/>
    <w:lvl w:ilvl="0" w:tentative="0">
      <w:start w:val="1"/>
      <w:numFmt w:val="decimal"/>
      <w:lvlText w:val="%1、"/>
      <w:lvlJc w:val="left"/>
      <w:pPr>
        <w:ind w:left="1016" w:hanging="44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12" w:hanging="420"/>
      </w:pPr>
    </w:lvl>
    <w:lvl w:ilvl="2" w:tentative="0">
      <w:start w:val="1"/>
      <w:numFmt w:val="lowerRoman"/>
      <w:lvlText w:val="%3."/>
      <w:lvlJc w:val="right"/>
      <w:pPr>
        <w:ind w:left="1832" w:hanging="420"/>
      </w:pPr>
    </w:lvl>
    <w:lvl w:ilvl="3" w:tentative="0">
      <w:start w:val="1"/>
      <w:numFmt w:val="decimal"/>
      <w:lvlText w:val="%4."/>
      <w:lvlJc w:val="left"/>
      <w:pPr>
        <w:ind w:left="2252" w:hanging="420"/>
      </w:pPr>
    </w:lvl>
    <w:lvl w:ilvl="4" w:tentative="0">
      <w:start w:val="1"/>
      <w:numFmt w:val="lowerLetter"/>
      <w:lvlText w:val="%5)"/>
      <w:lvlJc w:val="left"/>
      <w:pPr>
        <w:ind w:left="2672" w:hanging="420"/>
      </w:pPr>
    </w:lvl>
    <w:lvl w:ilvl="5" w:tentative="0">
      <w:start w:val="1"/>
      <w:numFmt w:val="lowerRoman"/>
      <w:lvlText w:val="%6."/>
      <w:lvlJc w:val="right"/>
      <w:pPr>
        <w:ind w:left="3092" w:hanging="420"/>
      </w:pPr>
    </w:lvl>
    <w:lvl w:ilvl="6" w:tentative="0">
      <w:start w:val="1"/>
      <w:numFmt w:val="decimal"/>
      <w:lvlText w:val="%7."/>
      <w:lvlJc w:val="left"/>
      <w:pPr>
        <w:ind w:left="3512" w:hanging="420"/>
      </w:pPr>
    </w:lvl>
    <w:lvl w:ilvl="7" w:tentative="0">
      <w:start w:val="1"/>
      <w:numFmt w:val="lowerLetter"/>
      <w:lvlText w:val="%8)"/>
      <w:lvlJc w:val="left"/>
      <w:pPr>
        <w:ind w:left="3932" w:hanging="420"/>
      </w:pPr>
    </w:lvl>
    <w:lvl w:ilvl="8" w:tentative="0">
      <w:start w:val="1"/>
      <w:numFmt w:val="lowerRoman"/>
      <w:lvlText w:val="%9."/>
      <w:lvlJc w:val="right"/>
      <w:pPr>
        <w:ind w:left="435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92"/>
    <w:rsid w:val="00015931"/>
    <w:rsid w:val="0002146E"/>
    <w:rsid w:val="000249B6"/>
    <w:rsid w:val="00036A16"/>
    <w:rsid w:val="00037CF3"/>
    <w:rsid w:val="000471E7"/>
    <w:rsid w:val="00054F26"/>
    <w:rsid w:val="000658D2"/>
    <w:rsid w:val="000A5B1C"/>
    <w:rsid w:val="000E2129"/>
    <w:rsid w:val="000F4795"/>
    <w:rsid w:val="0010178C"/>
    <w:rsid w:val="0010775E"/>
    <w:rsid w:val="00167350"/>
    <w:rsid w:val="001936F8"/>
    <w:rsid w:val="001F6579"/>
    <w:rsid w:val="00217E62"/>
    <w:rsid w:val="002441CA"/>
    <w:rsid w:val="00263FEE"/>
    <w:rsid w:val="00267FFD"/>
    <w:rsid w:val="00277D4D"/>
    <w:rsid w:val="00283041"/>
    <w:rsid w:val="0029624D"/>
    <w:rsid w:val="002A07AF"/>
    <w:rsid w:val="002A5B83"/>
    <w:rsid w:val="002B7028"/>
    <w:rsid w:val="002C3F48"/>
    <w:rsid w:val="002D7C1C"/>
    <w:rsid w:val="002E0371"/>
    <w:rsid w:val="002E7728"/>
    <w:rsid w:val="002F3650"/>
    <w:rsid w:val="0033138C"/>
    <w:rsid w:val="00335DDA"/>
    <w:rsid w:val="00345C3D"/>
    <w:rsid w:val="00351B59"/>
    <w:rsid w:val="00375BA7"/>
    <w:rsid w:val="00377B12"/>
    <w:rsid w:val="00392EB9"/>
    <w:rsid w:val="00397B71"/>
    <w:rsid w:val="003A1360"/>
    <w:rsid w:val="003B3527"/>
    <w:rsid w:val="003E5C90"/>
    <w:rsid w:val="003F11B3"/>
    <w:rsid w:val="003F3C39"/>
    <w:rsid w:val="003F6DF4"/>
    <w:rsid w:val="00403C4A"/>
    <w:rsid w:val="00403EDC"/>
    <w:rsid w:val="0042409D"/>
    <w:rsid w:val="00446EE1"/>
    <w:rsid w:val="0045545C"/>
    <w:rsid w:val="0045601A"/>
    <w:rsid w:val="0046363B"/>
    <w:rsid w:val="00477788"/>
    <w:rsid w:val="00495AD3"/>
    <w:rsid w:val="004C108C"/>
    <w:rsid w:val="004E06C1"/>
    <w:rsid w:val="0050063D"/>
    <w:rsid w:val="0050201C"/>
    <w:rsid w:val="00531B6C"/>
    <w:rsid w:val="005438AD"/>
    <w:rsid w:val="0054771E"/>
    <w:rsid w:val="00570C2F"/>
    <w:rsid w:val="0057607C"/>
    <w:rsid w:val="0057716D"/>
    <w:rsid w:val="005B169C"/>
    <w:rsid w:val="005C5928"/>
    <w:rsid w:val="005E46D2"/>
    <w:rsid w:val="005E4749"/>
    <w:rsid w:val="00604918"/>
    <w:rsid w:val="00622C2D"/>
    <w:rsid w:val="00623BFF"/>
    <w:rsid w:val="006256E4"/>
    <w:rsid w:val="0063160C"/>
    <w:rsid w:val="006559E3"/>
    <w:rsid w:val="00673046"/>
    <w:rsid w:val="00694CFD"/>
    <w:rsid w:val="006A3170"/>
    <w:rsid w:val="006F11B4"/>
    <w:rsid w:val="007038CB"/>
    <w:rsid w:val="00705B17"/>
    <w:rsid w:val="00705F66"/>
    <w:rsid w:val="00722F70"/>
    <w:rsid w:val="007520FF"/>
    <w:rsid w:val="0075699C"/>
    <w:rsid w:val="007A4453"/>
    <w:rsid w:val="007B6102"/>
    <w:rsid w:val="007D098B"/>
    <w:rsid w:val="0080504E"/>
    <w:rsid w:val="00817F1C"/>
    <w:rsid w:val="00844F07"/>
    <w:rsid w:val="00846676"/>
    <w:rsid w:val="0085298D"/>
    <w:rsid w:val="00857D8D"/>
    <w:rsid w:val="0088280F"/>
    <w:rsid w:val="0089088D"/>
    <w:rsid w:val="008C4897"/>
    <w:rsid w:val="008C4931"/>
    <w:rsid w:val="008F6713"/>
    <w:rsid w:val="00901210"/>
    <w:rsid w:val="0090412A"/>
    <w:rsid w:val="0091074D"/>
    <w:rsid w:val="0092565F"/>
    <w:rsid w:val="0092746E"/>
    <w:rsid w:val="00943C7F"/>
    <w:rsid w:val="009630E3"/>
    <w:rsid w:val="0097339C"/>
    <w:rsid w:val="009765F4"/>
    <w:rsid w:val="009B7543"/>
    <w:rsid w:val="009C2153"/>
    <w:rsid w:val="009C44F1"/>
    <w:rsid w:val="009C485E"/>
    <w:rsid w:val="009E1182"/>
    <w:rsid w:val="009F5EC5"/>
    <w:rsid w:val="009F61DD"/>
    <w:rsid w:val="00A100F6"/>
    <w:rsid w:val="00A301C6"/>
    <w:rsid w:val="00A33B25"/>
    <w:rsid w:val="00A37A99"/>
    <w:rsid w:val="00A6187E"/>
    <w:rsid w:val="00A87F63"/>
    <w:rsid w:val="00AA41E8"/>
    <w:rsid w:val="00AC0E6B"/>
    <w:rsid w:val="00AD18F2"/>
    <w:rsid w:val="00B26FEC"/>
    <w:rsid w:val="00B63CEA"/>
    <w:rsid w:val="00B75099"/>
    <w:rsid w:val="00B856CB"/>
    <w:rsid w:val="00BA0A3A"/>
    <w:rsid w:val="00BA7B4E"/>
    <w:rsid w:val="00BB4048"/>
    <w:rsid w:val="00BC1D1F"/>
    <w:rsid w:val="00BE650C"/>
    <w:rsid w:val="00BF00C2"/>
    <w:rsid w:val="00BF275A"/>
    <w:rsid w:val="00C40931"/>
    <w:rsid w:val="00C453B8"/>
    <w:rsid w:val="00C47002"/>
    <w:rsid w:val="00C80692"/>
    <w:rsid w:val="00C85521"/>
    <w:rsid w:val="00C9328F"/>
    <w:rsid w:val="00CA11E6"/>
    <w:rsid w:val="00CB5E87"/>
    <w:rsid w:val="00CE220F"/>
    <w:rsid w:val="00CE7BE3"/>
    <w:rsid w:val="00D0408A"/>
    <w:rsid w:val="00D133EE"/>
    <w:rsid w:val="00D420B7"/>
    <w:rsid w:val="00D465CC"/>
    <w:rsid w:val="00D467C0"/>
    <w:rsid w:val="00D72E21"/>
    <w:rsid w:val="00D761BA"/>
    <w:rsid w:val="00D84A7F"/>
    <w:rsid w:val="00D870DB"/>
    <w:rsid w:val="00D90B36"/>
    <w:rsid w:val="00DA177A"/>
    <w:rsid w:val="00DB02BD"/>
    <w:rsid w:val="00DD5438"/>
    <w:rsid w:val="00DD684B"/>
    <w:rsid w:val="00DE5516"/>
    <w:rsid w:val="00DF5C8A"/>
    <w:rsid w:val="00E05725"/>
    <w:rsid w:val="00E220DE"/>
    <w:rsid w:val="00E25C1E"/>
    <w:rsid w:val="00E27DEB"/>
    <w:rsid w:val="00E27F5F"/>
    <w:rsid w:val="00E4248E"/>
    <w:rsid w:val="00E519B0"/>
    <w:rsid w:val="00E65CC1"/>
    <w:rsid w:val="00E7088A"/>
    <w:rsid w:val="00E96ED1"/>
    <w:rsid w:val="00EB0F7A"/>
    <w:rsid w:val="00EF24DC"/>
    <w:rsid w:val="00EF2A4A"/>
    <w:rsid w:val="00F225E8"/>
    <w:rsid w:val="00F2619E"/>
    <w:rsid w:val="00F82901"/>
    <w:rsid w:val="00F944F5"/>
    <w:rsid w:val="00FB42FB"/>
    <w:rsid w:val="00FC60FB"/>
    <w:rsid w:val="00FC7656"/>
    <w:rsid w:val="0F4C699C"/>
    <w:rsid w:val="14022DB3"/>
    <w:rsid w:val="1B813D06"/>
    <w:rsid w:val="265E6B99"/>
    <w:rsid w:val="27246ED1"/>
    <w:rsid w:val="28BD2B84"/>
    <w:rsid w:val="2F7C4C66"/>
    <w:rsid w:val="36D537CD"/>
    <w:rsid w:val="374C4173"/>
    <w:rsid w:val="3D3F3A70"/>
    <w:rsid w:val="405E071D"/>
    <w:rsid w:val="426A6DA3"/>
    <w:rsid w:val="59C94C2A"/>
    <w:rsid w:val="5D6F6FC7"/>
    <w:rsid w:val="61BE7993"/>
    <w:rsid w:val="6235166B"/>
    <w:rsid w:val="632C4585"/>
    <w:rsid w:val="68E10BBD"/>
    <w:rsid w:val="6DFB3F95"/>
    <w:rsid w:val="719C4BFA"/>
    <w:rsid w:val="7C1D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font1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31"/>
    <w:basedOn w:val="8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font01"/>
    <w:basedOn w:val="8"/>
    <w:qFormat/>
    <w:uiPriority w:val="0"/>
    <w:rPr>
      <w:rFonts w:hint="default" w:ascii="Times New Roman" w:hAnsi="Times New Roman" w:cs="Times New Roman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537</Words>
  <Characters>3061</Characters>
  <Lines>25</Lines>
  <Paragraphs>7</Paragraphs>
  <TotalTime>397</TotalTime>
  <ScaleCrop>false</ScaleCrop>
  <LinksUpToDate>false</LinksUpToDate>
  <CharactersWithSpaces>3591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2021-02-20T02:52:00Z</dcterms:created>
  <dc:creator>HOME</dc:creator>
  <cp:lastModifiedBy>李海鹏</cp:lastModifiedBy>
  <dcterms:modified xsi:type="dcterms:W3CDTF">2021-02-28T07:45:06Z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