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b/>
          <w:sz w:val="36"/>
          <w:szCs w:val="36"/>
        </w:rPr>
      </w:pPr>
      <w:bookmarkStart w:id="0" w:name="_GoBack"/>
      <w:bookmarkEnd w:id="0"/>
      <w:r>
        <w:rPr>
          <w:rFonts w:hint="eastAsia"/>
          <w:b/>
          <w:sz w:val="36"/>
          <w:szCs w:val="36"/>
        </w:rPr>
        <w:t>西安万景实业有限公司及荔知湾项目简介</w:t>
      </w:r>
    </w:p>
    <w:p>
      <w:pPr>
        <w:spacing w:line="700" w:lineRule="exact"/>
        <w:jc w:val="center"/>
        <w:rPr>
          <w:b/>
          <w:sz w:val="36"/>
          <w:szCs w:val="36"/>
        </w:rPr>
      </w:pPr>
    </w:p>
    <w:p>
      <w:pPr>
        <w:spacing w:line="700" w:lineRule="exact"/>
        <w:jc w:val="left"/>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一、公司基本情况</w:t>
      </w:r>
    </w:p>
    <w:p>
      <w:pPr>
        <w:spacing w:line="700" w:lineRule="exact"/>
        <w:ind w:firstLine="560" w:firstLineChars="200"/>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西安万景实业有限公司成立于1999年11月，公司注册资金8000万元，现有员工208人，其中大专及以上学历占80%。经过十多年的发展，现已成为集房地产开发、商品房销售、工程施工、装饰装修及物业管理等业务为一体的综合性集团公司。集团公司下设房地产开发、物业管理、工程施工、投资管理等共九个全资子公司。公司目前拥有房地产二级开发资质，在主营业务房地产开发方面具备从规划设计、征地拆迁、施工管理、营销策划等物业管理的综合经营管理能力。</w:t>
      </w:r>
    </w:p>
    <w:p>
      <w:pPr>
        <w:spacing w:line="700" w:lineRule="exact"/>
        <w:ind w:firstLine="570"/>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万景公司坚持“以人为本、诚信务实、协作共赢、追求卓越” 的企业理念。秉承专业精神，打造专业团队，专注核心优势，追求卓越品质，把为客户提供良好的产品和最好的服务作为义不容辞的责任，在与客户和业界同仁的合作中追求互利共赢，共同发展。</w:t>
      </w:r>
    </w:p>
    <w:p>
      <w:pPr>
        <w:spacing w:line="700" w:lineRule="exact"/>
        <w:ind w:firstLine="570"/>
        <w:rPr>
          <w:rFonts w:cs="楷体" w:asciiTheme="minorEastAsia" w:hAnsiTheme="minorEastAsia" w:eastAsiaTheme="minorEastAsia"/>
          <w:sz w:val="28"/>
          <w:szCs w:val="28"/>
        </w:rPr>
      </w:pPr>
    </w:p>
    <w:p>
      <w:pPr>
        <w:spacing w:line="700" w:lineRule="exact"/>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二、历史业绩</w:t>
      </w:r>
    </w:p>
    <w:p>
      <w:pPr>
        <w:spacing w:line="700" w:lineRule="exact"/>
        <w:ind w:firstLine="560" w:firstLineChars="200"/>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公司成立于1999年，公司成立之初，主营机电产品的销售。随着公司的不断壮大，公司转向道路施工，近年完成了西安市郭杜工业园区的市政规划道路十余条；承接了郭杜工业园区企业总部的办公楼一、二期工程、108国道建设工程、碑林区中药厂综合楼、大学南路小学教学楼、西安市三中和八中的标准化操场、临潼二水厂、航天惠谷路、西安浐灞A坝、浐灞金三路，融四路，北郊市政路、大兴新区新兴南路，桃园路等项工程。良好的工程质量和诚信的经营方式，使公司在社会各界赢得了广泛好评。</w:t>
      </w:r>
    </w:p>
    <w:p>
      <w:pPr>
        <w:spacing w:line="700" w:lineRule="exact"/>
        <w:ind w:firstLine="560" w:firstLineChars="200"/>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近年来，公司的经营重点转向房地产开发，实行规划、开发、销售、管理、服务一体化。</w:t>
      </w:r>
    </w:p>
    <w:p>
      <w:pPr>
        <w:spacing w:line="700" w:lineRule="exact"/>
        <w:ind w:firstLine="560" w:firstLineChars="200"/>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2009年公司投资开发了“早安·林莊”住宅小区项目。该项目占地80亩，总建筑面积18余万平方米，位于西安市高新技术开发区，小区配套及商业娱乐、教育设施齐全，景观设计崇尚贴近生活，讲究亲近自然，万物和谐共处，突显生态自然的居住理念，是公司倾心打造的精品力作。该项目的建成，成为郭杜开发区的一个新亮点。该项目销售收入7.94亿元，总投资4.28亿元，税前利润2.5亿元。项目税前投资收益率31%，税后投资收益率23%。</w:t>
      </w:r>
    </w:p>
    <w:p>
      <w:pPr>
        <w:spacing w:line="700" w:lineRule="exact"/>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三、在建项目基本情况</w:t>
      </w:r>
    </w:p>
    <w:p>
      <w:pPr>
        <w:spacing w:line="700" w:lineRule="exact"/>
        <w:ind w:firstLine="560" w:firstLineChars="200"/>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经过多年认真准备，公司已具备开发大型项目的能力， 2013年，万景公司旗下西安万景美奂置业有限公司投资开发建设“温国堡村”项目。</w:t>
      </w:r>
    </w:p>
    <w:p>
      <w:pPr>
        <w:spacing w:line="700" w:lineRule="exact"/>
        <w:ind w:firstLine="560" w:firstLineChars="200"/>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温国堡村”城改项目隶属于西安市长安区郭杜街道办事处管辖，位于长安区中心，与长安区区政府相望，东至崔家营村，南至橘河，西至大居安村，北至西安邮电学院长安校区；子午大道横穿其中，四周交通便利；同时该村位于城南大学城板块，多所国内知名大学环绕四周。</w:t>
      </w:r>
    </w:p>
    <w:p>
      <w:pPr>
        <w:widowControl/>
        <w:adjustRightInd w:val="0"/>
        <w:snapToGrid w:val="0"/>
        <w:spacing w:line="700" w:lineRule="exact"/>
        <w:ind w:firstLine="560" w:firstLineChars="200"/>
        <w:jc w:val="left"/>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项目总用地规划面积为623.669亩，实际开发面积439.05亩，容积率3.5，建筑密度24%，绿地率30%，总户数9401户，总建筑面积135万平米，开发产品面积区间涵盖了从两室到五室的全生命周期产品，户型配比充分合理，能够满足各年龄层次的不同客户需求，正式面世后，必将受到市场追捧。其中住宅面积79.8万平米，商业及酒店面积18万平米，机动车位9615个，配套设施含会所，幼儿园，铁一中附小，附中。项目预计可取得销售收入近百亿元，总投资60亿元，税前利润30亿元，税后利润20亿元。温国堡村周边已形成发展成熟的人文地理环境优势为温国堡城改项目的开发建设提供了坚实的硬件条件。</w:t>
      </w:r>
    </w:p>
    <w:p>
      <w:pPr>
        <w:widowControl/>
        <w:adjustRightInd w:val="0"/>
        <w:snapToGrid w:val="0"/>
        <w:spacing w:line="700" w:lineRule="exact"/>
        <w:ind w:firstLine="560" w:firstLineChars="200"/>
        <w:jc w:val="left"/>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目前该项目已正式定名为“万景•荔知湾”，该项目计划分三期开发，</w:t>
      </w:r>
      <w:r>
        <w:rPr>
          <w:rFonts w:hint="eastAsia" w:cs="楷体" w:asciiTheme="minorEastAsia" w:hAnsiTheme="minorEastAsia" w:eastAsiaTheme="minorEastAsia"/>
          <w:color w:val="000000"/>
          <w:sz w:val="28"/>
          <w:szCs w:val="28"/>
        </w:rPr>
        <w:t xml:space="preserve"> </w:t>
      </w:r>
      <w:r>
        <w:rPr>
          <w:rFonts w:hint="eastAsia" w:cs="楷体" w:asciiTheme="minorEastAsia" w:hAnsiTheme="minorEastAsia" w:eastAsiaTheme="minorEastAsia"/>
          <w:sz w:val="28"/>
          <w:szCs w:val="28"/>
        </w:rPr>
        <w:t>一期占地181.05亩，总建筑面积约698925㎡，其中安置房面积18万㎡，另外51万㎡商品房，预计车位5813个；二期占地111.79亩，规划建筑面积382390.31㎡；三期占地122.26亩，规划建筑面积332223㎡（其中商业15393㎡）。</w:t>
      </w:r>
    </w:p>
    <w:p>
      <w:pPr>
        <w:widowControl/>
        <w:adjustRightInd w:val="0"/>
        <w:snapToGrid w:val="0"/>
        <w:spacing w:line="700" w:lineRule="exact"/>
        <w:jc w:val="left"/>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 xml:space="preserve">   一期项目目前已建设完成，其中东地块建设商品楼17栋，已于2019年9月全面交房。项目西地块（安置部分）9栋楼也已于2018年1月全部建设完毕，完成回迁。</w:t>
      </w:r>
    </w:p>
    <w:p>
      <w:pPr>
        <w:widowControl/>
        <w:adjustRightInd w:val="0"/>
        <w:snapToGrid w:val="0"/>
        <w:spacing w:line="700" w:lineRule="exact"/>
        <w:ind w:firstLine="560" w:firstLineChars="200"/>
        <w:jc w:val="left"/>
        <w:rPr>
          <w:rFonts w:cs="楷体" w:asciiTheme="minorEastAsia" w:hAnsiTheme="minorEastAsia" w:eastAsiaTheme="minorEastAsia"/>
          <w:sz w:val="28"/>
          <w:szCs w:val="28"/>
        </w:rPr>
      </w:pPr>
      <w:r>
        <w:rPr>
          <w:rFonts w:cs="楷体" w:asciiTheme="minorEastAsia" w:hAnsiTheme="minorEastAsia" w:eastAsiaTheme="minorEastAsia"/>
          <w:sz w:val="28"/>
          <w:szCs w:val="28"/>
        </w:rPr>
        <w:t>二期项目目前正在开发预售阶段；三期项目目前处于土地招拍挂前期准备阶段，土地是净地，计划</w:t>
      </w:r>
      <w:r>
        <w:rPr>
          <w:rFonts w:hint="eastAsia" w:cs="楷体" w:asciiTheme="minorEastAsia" w:hAnsiTheme="minorEastAsia" w:eastAsiaTheme="minorEastAsia"/>
          <w:sz w:val="28"/>
          <w:szCs w:val="28"/>
        </w:rPr>
        <w:t>2020年10月挂地</w:t>
      </w:r>
      <w:r>
        <w:rPr>
          <w:rFonts w:cs="楷体" w:asciiTheme="minorEastAsia" w:hAnsiTheme="minorEastAsia" w:eastAsiaTheme="minorEastAsia"/>
          <w:sz w:val="28"/>
          <w:szCs w:val="28"/>
        </w:rPr>
        <w:t>。</w:t>
      </w:r>
    </w:p>
    <w:p>
      <w:pPr>
        <w:widowControl/>
        <w:adjustRightInd w:val="0"/>
        <w:snapToGrid w:val="0"/>
        <w:spacing w:line="700" w:lineRule="exact"/>
        <w:ind w:firstLine="560" w:firstLineChars="200"/>
        <w:jc w:val="left"/>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荔枝湾项目三期所有土地的拆迁安置工作已于2018年全部完成，安置方式主要是房屋安置，实际安置村民469户，占全部村民的94%，实际安置房屋面积181,889.72㎡。万景美奂地产公司拆迁安置实际投入13亿元，其中拆迁支出约6.51亿元，安置楼建安支出约6.49亿元，分摊给本次融资目标地块的拆迁安置成本为4.37亿元。</w:t>
      </w:r>
    </w:p>
    <w:p>
      <w:pPr>
        <w:widowControl/>
        <w:adjustRightInd w:val="0"/>
        <w:snapToGrid w:val="0"/>
        <w:spacing w:line="700" w:lineRule="exact"/>
        <w:ind w:firstLine="560" w:firstLineChars="200"/>
        <w:jc w:val="left"/>
        <w:rPr>
          <w:rFonts w:cs="楷体" w:asciiTheme="minorEastAsia" w:hAnsiTheme="minorEastAsia" w:eastAsiaTheme="minorEastAsia"/>
          <w:sz w:val="28"/>
          <w:szCs w:val="28"/>
        </w:rPr>
      </w:pPr>
      <w:r>
        <w:rPr>
          <w:rFonts w:cs="楷体" w:asciiTheme="minorEastAsia" w:hAnsiTheme="minorEastAsia" w:eastAsiaTheme="minorEastAsia"/>
          <w:sz w:val="28"/>
          <w:szCs w:val="28"/>
        </w:rPr>
        <w:t>荔知湾三期项目总投资和已投入资金情况如下表所列：</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成本项目</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预计总投资</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开发商已投入资金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土地及配套费</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95,354.00万元</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48,700万元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前期报建费用</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13,894.23万元</w:t>
            </w:r>
          </w:p>
        </w:tc>
        <w:tc>
          <w:tcPr>
            <w:tcW w:w="2841" w:type="dxa"/>
            <w:vAlign w:val="center"/>
          </w:tcPr>
          <w:p>
            <w:pPr>
              <w:spacing w:line="700" w:lineRule="exact"/>
              <w:jc w:val="center"/>
              <w:rPr>
                <w:rFonts w:cs="楷体" w:asciiTheme="minorEastAsia" w:hAnsiTheme="minorEastAsia"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建安支出</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93,022.40万元</w:t>
            </w:r>
          </w:p>
        </w:tc>
        <w:tc>
          <w:tcPr>
            <w:tcW w:w="2841" w:type="dxa"/>
            <w:vAlign w:val="center"/>
          </w:tcPr>
          <w:p>
            <w:pPr>
              <w:spacing w:line="700" w:lineRule="exact"/>
              <w:jc w:val="center"/>
              <w:rPr>
                <w:rFonts w:cs="楷体" w:asciiTheme="minorEastAsia" w:hAnsiTheme="minorEastAsia"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公共配套设施</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10,113.27万元</w:t>
            </w:r>
          </w:p>
        </w:tc>
        <w:tc>
          <w:tcPr>
            <w:tcW w:w="2841" w:type="dxa"/>
            <w:vAlign w:val="center"/>
          </w:tcPr>
          <w:p>
            <w:pPr>
              <w:spacing w:line="700" w:lineRule="exact"/>
              <w:jc w:val="center"/>
              <w:rPr>
                <w:rFonts w:cs="楷体" w:asciiTheme="minorEastAsia" w:hAnsiTheme="minorEastAsia"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开发间接费</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4,527.20万元</w:t>
            </w:r>
          </w:p>
        </w:tc>
        <w:tc>
          <w:tcPr>
            <w:tcW w:w="2841" w:type="dxa"/>
            <w:vAlign w:val="center"/>
          </w:tcPr>
          <w:p>
            <w:pPr>
              <w:spacing w:line="700" w:lineRule="exact"/>
              <w:jc w:val="center"/>
              <w:rPr>
                <w:rFonts w:cs="楷体" w:asciiTheme="minorEastAsia" w:hAnsiTheme="minorEastAsia"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融资利息</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14,000.00万元</w:t>
            </w:r>
          </w:p>
        </w:tc>
        <w:tc>
          <w:tcPr>
            <w:tcW w:w="2841" w:type="dxa"/>
            <w:vAlign w:val="center"/>
          </w:tcPr>
          <w:p>
            <w:pPr>
              <w:spacing w:line="700" w:lineRule="exact"/>
              <w:jc w:val="center"/>
              <w:rPr>
                <w:rFonts w:cs="楷体" w:asciiTheme="minorEastAsia" w:hAnsiTheme="minorEastAsia"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合计</w:t>
            </w:r>
          </w:p>
        </w:tc>
        <w:tc>
          <w:tcPr>
            <w:tcW w:w="2841" w:type="dxa"/>
            <w:vAlign w:val="center"/>
          </w:tcPr>
          <w:p>
            <w:pPr>
              <w:spacing w:line="700" w:lineRule="exact"/>
              <w:jc w:val="center"/>
              <w:rPr>
                <w:rFonts w:cs="楷体" w:asciiTheme="minorEastAsia" w:hAnsiTheme="minorEastAsia" w:eastAsiaTheme="minorEastAsia"/>
                <w:sz w:val="28"/>
                <w:szCs w:val="28"/>
              </w:rPr>
            </w:pPr>
            <w:r>
              <w:rPr>
                <w:rFonts w:hint="eastAsia" w:cs="楷体" w:asciiTheme="minorEastAsia" w:hAnsiTheme="minorEastAsia" w:eastAsiaTheme="minorEastAsia"/>
                <w:sz w:val="28"/>
                <w:szCs w:val="28"/>
              </w:rPr>
              <w:t>230,911.10万元</w:t>
            </w:r>
          </w:p>
        </w:tc>
        <w:tc>
          <w:tcPr>
            <w:tcW w:w="2841" w:type="dxa"/>
            <w:vAlign w:val="center"/>
          </w:tcPr>
          <w:p>
            <w:pPr>
              <w:spacing w:line="700" w:lineRule="exact"/>
              <w:jc w:val="center"/>
              <w:rPr>
                <w:rFonts w:cs="楷体" w:asciiTheme="minorEastAsia" w:hAnsiTheme="minorEastAsia" w:eastAsiaTheme="minorEastAsia"/>
                <w:sz w:val="28"/>
                <w:szCs w:val="28"/>
              </w:rPr>
            </w:pPr>
          </w:p>
        </w:tc>
      </w:tr>
    </w:tbl>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四、融资详细用途</w:t>
      </w:r>
    </w:p>
    <w:p>
      <w:pPr>
        <w:rPr>
          <w:rFonts w:asciiTheme="minorEastAsia" w:hAnsiTheme="minorEastAsia" w:eastAsiaTheme="minorEastAsia"/>
          <w:sz w:val="28"/>
          <w:szCs w:val="28"/>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1598"/>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1242"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序号</w:t>
            </w:r>
          </w:p>
        </w:tc>
        <w:tc>
          <w:tcPr>
            <w:tcW w:w="1598"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费用名称</w:t>
            </w:r>
          </w:p>
        </w:tc>
        <w:tc>
          <w:tcPr>
            <w:tcW w:w="1420"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单位</w:t>
            </w:r>
          </w:p>
        </w:tc>
        <w:tc>
          <w:tcPr>
            <w:tcW w:w="1420"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单价</w:t>
            </w:r>
          </w:p>
        </w:tc>
        <w:tc>
          <w:tcPr>
            <w:tcW w:w="1421"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数量</w:t>
            </w:r>
          </w:p>
        </w:tc>
        <w:tc>
          <w:tcPr>
            <w:tcW w:w="1421"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合计（万元）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598" w:type="dxa"/>
            <w:vAlign w:val="center"/>
          </w:tcPr>
          <w:p>
            <w:pPr>
              <w:jc w:val="center"/>
              <w:rPr>
                <w:rFonts w:asciiTheme="minorEastAsia" w:hAnsiTheme="minorEastAsia" w:eastAsiaTheme="minorEastAsia"/>
                <w:sz w:val="24"/>
                <w:szCs w:val="28"/>
              </w:rPr>
            </w:pPr>
            <w:r>
              <w:rPr>
                <w:rFonts w:asciiTheme="minorEastAsia" w:hAnsiTheme="minorEastAsia" w:eastAsiaTheme="minorEastAsia"/>
                <w:sz w:val="24"/>
                <w:szCs w:val="28"/>
              </w:rPr>
              <w:t>土地出让金</w:t>
            </w:r>
          </w:p>
        </w:tc>
        <w:tc>
          <w:tcPr>
            <w:tcW w:w="1420"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亩</w:t>
            </w:r>
          </w:p>
        </w:tc>
        <w:tc>
          <w:tcPr>
            <w:tcW w:w="142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380万元</w:t>
            </w: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122.26</w:t>
            </w: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46,458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598" w:type="dxa"/>
            <w:vAlign w:val="center"/>
          </w:tcPr>
          <w:p>
            <w:pPr>
              <w:jc w:val="center"/>
              <w:rPr>
                <w:rFonts w:asciiTheme="minorEastAsia" w:hAnsiTheme="minorEastAsia" w:eastAsiaTheme="minorEastAsia"/>
                <w:sz w:val="24"/>
                <w:szCs w:val="28"/>
              </w:rPr>
            </w:pPr>
            <w:r>
              <w:rPr>
                <w:rFonts w:asciiTheme="minorEastAsia" w:hAnsiTheme="minorEastAsia" w:eastAsiaTheme="minorEastAsia"/>
                <w:sz w:val="24"/>
                <w:szCs w:val="28"/>
              </w:rPr>
              <w:t>大市证配套费</w:t>
            </w:r>
          </w:p>
        </w:tc>
        <w:tc>
          <w:tcPr>
            <w:tcW w:w="1420"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平米</w:t>
            </w:r>
          </w:p>
        </w:tc>
        <w:tc>
          <w:tcPr>
            <w:tcW w:w="142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230元</w:t>
            </w: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332,223</w:t>
            </w: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7,641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598" w:type="dxa"/>
            <w:vAlign w:val="center"/>
          </w:tcPr>
          <w:p>
            <w:pPr>
              <w:jc w:val="center"/>
              <w:rPr>
                <w:rFonts w:asciiTheme="minorEastAsia" w:hAnsiTheme="minorEastAsia" w:eastAsiaTheme="minorEastAsia"/>
                <w:sz w:val="24"/>
                <w:szCs w:val="28"/>
              </w:rPr>
            </w:pPr>
            <w:r>
              <w:rPr>
                <w:rFonts w:asciiTheme="minorEastAsia" w:hAnsiTheme="minorEastAsia" w:eastAsiaTheme="minorEastAsia"/>
                <w:sz w:val="24"/>
                <w:szCs w:val="28"/>
              </w:rPr>
              <w:t>报建规费支出</w:t>
            </w:r>
          </w:p>
        </w:tc>
        <w:tc>
          <w:tcPr>
            <w:tcW w:w="1420"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平米</w:t>
            </w:r>
          </w:p>
        </w:tc>
        <w:tc>
          <w:tcPr>
            <w:tcW w:w="142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218元</w:t>
            </w: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332,223</w:t>
            </w: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7,243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598"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土方桩基及建安支出</w:t>
            </w:r>
          </w:p>
        </w:tc>
        <w:tc>
          <w:tcPr>
            <w:tcW w:w="1420" w:type="dxa"/>
            <w:vAlign w:val="center"/>
          </w:tcPr>
          <w:p>
            <w:pPr>
              <w:jc w:val="center"/>
              <w:rPr>
                <w:rFonts w:asciiTheme="minorEastAsia" w:hAnsiTheme="minorEastAsia" w:eastAsiaTheme="minorEastAsia"/>
                <w:sz w:val="28"/>
                <w:szCs w:val="28"/>
              </w:rPr>
            </w:pPr>
          </w:p>
        </w:tc>
        <w:tc>
          <w:tcPr>
            <w:tcW w:w="1420" w:type="dxa"/>
            <w:vAlign w:val="center"/>
          </w:tcPr>
          <w:p>
            <w:pPr>
              <w:jc w:val="center"/>
              <w:rPr>
                <w:rFonts w:asciiTheme="minorEastAsia" w:hAnsiTheme="minorEastAsia" w:eastAsiaTheme="minorEastAsia"/>
                <w:sz w:val="28"/>
                <w:szCs w:val="28"/>
              </w:rPr>
            </w:pPr>
          </w:p>
        </w:tc>
        <w:tc>
          <w:tcPr>
            <w:tcW w:w="1421" w:type="dxa"/>
            <w:vAlign w:val="center"/>
          </w:tcPr>
          <w:p>
            <w:pPr>
              <w:jc w:val="center"/>
              <w:rPr>
                <w:rFonts w:asciiTheme="minorEastAsia" w:hAnsiTheme="minorEastAsia" w:eastAsiaTheme="minorEastAsia"/>
                <w:sz w:val="24"/>
                <w:szCs w:val="28"/>
              </w:rPr>
            </w:pP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8,658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242" w:type="dxa"/>
            <w:vAlign w:val="center"/>
          </w:tcPr>
          <w:p>
            <w:pPr>
              <w:jc w:val="center"/>
              <w:rPr>
                <w:rFonts w:asciiTheme="minorEastAsia" w:hAnsiTheme="minorEastAsia" w:eastAsiaTheme="minorEastAsia"/>
                <w:sz w:val="28"/>
                <w:szCs w:val="28"/>
              </w:rPr>
            </w:pPr>
          </w:p>
        </w:tc>
        <w:tc>
          <w:tcPr>
            <w:tcW w:w="1598"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合计</w:t>
            </w:r>
          </w:p>
        </w:tc>
        <w:tc>
          <w:tcPr>
            <w:tcW w:w="1420" w:type="dxa"/>
            <w:vAlign w:val="center"/>
          </w:tcPr>
          <w:p>
            <w:pPr>
              <w:jc w:val="center"/>
              <w:rPr>
                <w:rFonts w:asciiTheme="minorEastAsia" w:hAnsiTheme="minorEastAsia" w:eastAsiaTheme="minorEastAsia"/>
                <w:sz w:val="28"/>
                <w:szCs w:val="28"/>
              </w:rPr>
            </w:pPr>
          </w:p>
        </w:tc>
        <w:tc>
          <w:tcPr>
            <w:tcW w:w="1420" w:type="dxa"/>
            <w:vAlign w:val="center"/>
          </w:tcPr>
          <w:p>
            <w:pPr>
              <w:jc w:val="center"/>
              <w:rPr>
                <w:rFonts w:asciiTheme="minorEastAsia" w:hAnsiTheme="minorEastAsia" w:eastAsiaTheme="minorEastAsia"/>
                <w:sz w:val="28"/>
                <w:szCs w:val="28"/>
              </w:rPr>
            </w:pPr>
          </w:p>
        </w:tc>
        <w:tc>
          <w:tcPr>
            <w:tcW w:w="1421" w:type="dxa"/>
            <w:vAlign w:val="center"/>
          </w:tcPr>
          <w:p>
            <w:pPr>
              <w:jc w:val="center"/>
              <w:rPr>
                <w:rFonts w:asciiTheme="minorEastAsia" w:hAnsiTheme="minorEastAsia" w:eastAsiaTheme="minorEastAsia"/>
                <w:sz w:val="24"/>
                <w:szCs w:val="28"/>
              </w:rPr>
            </w:pPr>
          </w:p>
        </w:tc>
        <w:tc>
          <w:tcPr>
            <w:tcW w:w="1421" w:type="dxa"/>
            <w:vAlign w:val="center"/>
          </w:tcPr>
          <w:p>
            <w:pPr>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70,000</w:t>
            </w:r>
          </w:p>
        </w:tc>
      </w:tr>
    </w:tbl>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r>
        <w:rPr>
          <w:rFonts w:asciiTheme="minorEastAsia" w:hAnsiTheme="minorEastAsia" w:eastAsiaTheme="minorEastAsia"/>
          <w:sz w:val="28"/>
          <w:szCs w:val="28"/>
        </w:rPr>
        <w:t>五、项目收益预测</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项目可售商品住宅208161平米，预计平均售价17,000元/平米，商业15,973平米，预计平均售价18,000元/平米，地下车位2,420个，预计平均售价20万元/个。总销售额为431,025.1万元。</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1560"/>
        <w:gridCol w:w="1417"/>
        <w:gridCol w:w="1985"/>
        <w:gridCol w:w="23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156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业态名称</w:t>
            </w:r>
          </w:p>
        </w:tc>
        <w:tc>
          <w:tcPr>
            <w:tcW w:w="14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可售面积(平米）</w:t>
            </w:r>
          </w:p>
        </w:tc>
        <w:tc>
          <w:tcPr>
            <w:tcW w:w="198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预计单价（万元/平米、万元/个）</w:t>
            </w:r>
          </w:p>
        </w:tc>
        <w:tc>
          <w:tcPr>
            <w:tcW w:w="231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总金额（元）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56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住宅</w:t>
            </w:r>
          </w:p>
        </w:tc>
        <w:tc>
          <w:tcPr>
            <w:tcW w:w="14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208161</w:t>
            </w:r>
          </w:p>
        </w:tc>
        <w:tc>
          <w:tcPr>
            <w:tcW w:w="198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1.7</w:t>
            </w:r>
          </w:p>
        </w:tc>
        <w:tc>
          <w:tcPr>
            <w:tcW w:w="231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353,873.70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56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商业</w:t>
            </w:r>
          </w:p>
        </w:tc>
        <w:tc>
          <w:tcPr>
            <w:tcW w:w="14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15973</w:t>
            </w:r>
          </w:p>
        </w:tc>
        <w:tc>
          <w:tcPr>
            <w:tcW w:w="198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w:t>
            </w:r>
          </w:p>
        </w:tc>
        <w:tc>
          <w:tcPr>
            <w:tcW w:w="231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28,751.40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56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车位</w:t>
            </w:r>
          </w:p>
        </w:tc>
        <w:tc>
          <w:tcPr>
            <w:tcW w:w="14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2420</w:t>
            </w:r>
          </w:p>
        </w:tc>
        <w:tc>
          <w:tcPr>
            <w:tcW w:w="198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231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48,400.00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124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合计</w:t>
            </w:r>
          </w:p>
        </w:tc>
        <w:tc>
          <w:tcPr>
            <w:tcW w:w="1560" w:type="dxa"/>
            <w:vAlign w:val="center"/>
          </w:tcPr>
          <w:p>
            <w:pPr>
              <w:jc w:val="center"/>
              <w:rPr>
                <w:rFonts w:asciiTheme="minorEastAsia" w:hAnsiTheme="minorEastAsia" w:eastAsiaTheme="minorEastAsia"/>
                <w:sz w:val="28"/>
                <w:szCs w:val="28"/>
              </w:rPr>
            </w:pPr>
          </w:p>
        </w:tc>
        <w:tc>
          <w:tcPr>
            <w:tcW w:w="1417" w:type="dxa"/>
            <w:vAlign w:val="center"/>
          </w:tcPr>
          <w:p>
            <w:pPr>
              <w:jc w:val="center"/>
              <w:rPr>
                <w:rFonts w:asciiTheme="minorEastAsia" w:hAnsiTheme="minorEastAsia" w:eastAsiaTheme="minorEastAsia"/>
                <w:sz w:val="28"/>
                <w:szCs w:val="28"/>
              </w:rPr>
            </w:pPr>
          </w:p>
        </w:tc>
        <w:tc>
          <w:tcPr>
            <w:tcW w:w="1985" w:type="dxa"/>
            <w:vAlign w:val="center"/>
          </w:tcPr>
          <w:p>
            <w:pPr>
              <w:jc w:val="center"/>
              <w:rPr>
                <w:rFonts w:asciiTheme="minorEastAsia" w:hAnsiTheme="minorEastAsia" w:eastAsiaTheme="minorEastAsia"/>
                <w:sz w:val="28"/>
                <w:szCs w:val="28"/>
              </w:rPr>
            </w:pPr>
          </w:p>
        </w:tc>
        <w:tc>
          <w:tcPr>
            <w:tcW w:w="231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431,025.10</w:t>
            </w:r>
          </w:p>
        </w:tc>
      </w:tr>
    </w:tbl>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r>
        <w:rPr>
          <w:rFonts w:asciiTheme="minorEastAsia" w:hAnsiTheme="minorEastAsia" w:eastAsiaTheme="minorEastAsia"/>
          <w:sz w:val="28"/>
          <w:szCs w:val="28"/>
        </w:rPr>
        <w:t>六、还款计划</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本次融资的</w:t>
      </w:r>
      <w:r>
        <w:rPr>
          <w:rFonts w:asciiTheme="minorEastAsia" w:hAnsiTheme="minorEastAsia" w:eastAsiaTheme="minorEastAsia"/>
          <w:sz w:val="28"/>
          <w:szCs w:val="28"/>
        </w:rPr>
        <w:t>还款来源为项目开发贷款及预售回款。</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项目开发贷款预计于2021年7月投放，贷款额度预计10亿元，开发贷款通过施工单位转出偿还本笔贷款，预计2021年10月可偿还1.5亿元（根据施工进度预计），2021年12月偿还2亿元。</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目预计2021年7月开始预售，第一批上市的楼栋包括33#、35#、39#、40#、43#，总面积125100平米，预计2021年10月前累计可回款6.38亿元，预计10月份可偿还贷款2亿元。2021年10月第二批上市预售的楼栋包括：48#、49#、51#、52#，总面积97300平米，预计2021年12月前累计可回款4.96亿元，预计12月份可偿还贷款1.5亿元。</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综合以上情况，计划2021年10月通过开发贷款及预售资金可偿还贷款3.5亿元，2021年12月通过开发贷款及预售资金可偿还贷款3.5亿元。</w:t>
      </w:r>
    </w:p>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西安万景美奂置业有限公司</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2020年8月12日</w:t>
      </w:r>
    </w:p>
    <w:p>
      <w:pPr>
        <w:spacing w:line="700" w:lineRule="exact"/>
        <w:ind w:firstLine="600" w:firstLineChars="200"/>
        <w:rPr>
          <w:rFonts w:ascii="楷体" w:hAnsi="楷体" w:eastAsia="楷体" w:cs="楷体"/>
          <w:sz w:val="30"/>
          <w:szCs w:val="30"/>
        </w:rPr>
      </w:pPr>
    </w:p>
    <w:p>
      <w:pPr>
        <w:spacing w:line="700" w:lineRule="exact"/>
        <w:ind w:firstLine="600" w:firstLineChars="200"/>
        <w:rPr>
          <w:rFonts w:ascii="楷体" w:hAnsi="楷体" w:eastAsia="楷体" w:cs="楷体"/>
          <w:sz w:val="30"/>
          <w:szCs w:val="30"/>
        </w:rPr>
      </w:pPr>
    </w:p>
    <w:p>
      <w:pPr>
        <w:spacing w:line="700" w:lineRule="exact"/>
        <w:ind w:firstLine="600" w:firstLineChars="200"/>
        <w:rPr>
          <w:rFonts w:ascii="楷体" w:hAnsi="楷体" w:eastAsia="楷体" w:cs="楷体"/>
          <w:sz w:val="30"/>
          <w:szCs w:val="30"/>
        </w:rPr>
      </w:pPr>
    </w:p>
    <w:p>
      <w:pPr>
        <w:spacing w:line="700" w:lineRule="exact"/>
        <w:ind w:firstLine="600" w:firstLineChars="200"/>
        <w:rPr>
          <w:rFonts w:ascii="楷体" w:hAnsi="楷体" w:eastAsia="楷体" w:cs="楷体"/>
          <w:sz w:val="30"/>
          <w:szCs w:val="30"/>
        </w:rPr>
      </w:pPr>
    </w:p>
    <w:p>
      <w:pPr>
        <w:spacing w:line="700" w:lineRule="exact"/>
        <w:rPr>
          <w:rFonts w:ascii="楷体" w:hAnsi="楷体" w:eastAsia="楷体" w:cs="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01"/>
    <w:rsid w:val="00051B83"/>
    <w:rsid w:val="000B6AC7"/>
    <w:rsid w:val="001033EC"/>
    <w:rsid w:val="00176D44"/>
    <w:rsid w:val="00186BD4"/>
    <w:rsid w:val="001B6978"/>
    <w:rsid w:val="002326E0"/>
    <w:rsid w:val="002F41A0"/>
    <w:rsid w:val="002F6CAA"/>
    <w:rsid w:val="00305AAF"/>
    <w:rsid w:val="00315084"/>
    <w:rsid w:val="003C6BB4"/>
    <w:rsid w:val="00443FF2"/>
    <w:rsid w:val="00465153"/>
    <w:rsid w:val="00465556"/>
    <w:rsid w:val="0048525B"/>
    <w:rsid w:val="005570D0"/>
    <w:rsid w:val="0055782A"/>
    <w:rsid w:val="005A163C"/>
    <w:rsid w:val="005E618C"/>
    <w:rsid w:val="0061266C"/>
    <w:rsid w:val="006477F4"/>
    <w:rsid w:val="00687E50"/>
    <w:rsid w:val="006D6EF2"/>
    <w:rsid w:val="0075711C"/>
    <w:rsid w:val="007716B7"/>
    <w:rsid w:val="0077637E"/>
    <w:rsid w:val="00796F74"/>
    <w:rsid w:val="007B2757"/>
    <w:rsid w:val="007D5CF9"/>
    <w:rsid w:val="007E289E"/>
    <w:rsid w:val="0085417E"/>
    <w:rsid w:val="00866601"/>
    <w:rsid w:val="008E40A3"/>
    <w:rsid w:val="008F5453"/>
    <w:rsid w:val="00927771"/>
    <w:rsid w:val="00946CA9"/>
    <w:rsid w:val="00985D3C"/>
    <w:rsid w:val="009C111E"/>
    <w:rsid w:val="00A12A25"/>
    <w:rsid w:val="00A42CB1"/>
    <w:rsid w:val="00B0340D"/>
    <w:rsid w:val="00B35F99"/>
    <w:rsid w:val="00BD19A9"/>
    <w:rsid w:val="00C21004"/>
    <w:rsid w:val="00C9687A"/>
    <w:rsid w:val="00CB563E"/>
    <w:rsid w:val="00D1054A"/>
    <w:rsid w:val="00D20463"/>
    <w:rsid w:val="00D340D4"/>
    <w:rsid w:val="00D82512"/>
    <w:rsid w:val="00D83E3F"/>
    <w:rsid w:val="00DD1492"/>
    <w:rsid w:val="00E22733"/>
    <w:rsid w:val="00E34888"/>
    <w:rsid w:val="00EE6325"/>
    <w:rsid w:val="038E129A"/>
    <w:rsid w:val="0A2E4033"/>
    <w:rsid w:val="158E755D"/>
    <w:rsid w:val="1BB267CA"/>
    <w:rsid w:val="2FF34148"/>
    <w:rsid w:val="39845D51"/>
    <w:rsid w:val="48732436"/>
    <w:rsid w:val="4CF160E8"/>
    <w:rsid w:val="558A3786"/>
    <w:rsid w:val="57CD57A3"/>
    <w:rsid w:val="72D72900"/>
    <w:rsid w:val="7B714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rFonts w:ascii="Times New Roman" w:hAnsi="Times New Roman" w:eastAsia="宋体" w:cs="Times New Roman"/>
      <w:sz w:val="18"/>
      <w:szCs w:val="18"/>
    </w:rPr>
  </w:style>
  <w:style w:type="character" w:customStyle="1" w:styleId="9">
    <w:name w:val="页眉 Char"/>
    <w:basedOn w:val="7"/>
    <w:link w:val="4"/>
    <w:semiHidden/>
    <w:qFormat/>
    <w:uiPriority w:val="99"/>
    <w:rPr>
      <w:rFonts w:ascii="Times New Roman" w:hAnsi="Times New Roman" w:eastAsia="宋体" w:cs="Times New Roman"/>
      <w:kern w:val="2"/>
      <w:sz w:val="18"/>
      <w:szCs w:val="18"/>
    </w:rPr>
  </w:style>
  <w:style w:type="character" w:customStyle="1" w:styleId="10">
    <w:name w:val="页脚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431</Words>
  <Characters>2457</Characters>
  <Lines>20</Lines>
  <Paragraphs>5</Paragraphs>
  <TotalTime>67</TotalTime>
  <ScaleCrop>false</ScaleCrop>
  <LinksUpToDate>false</LinksUpToDate>
  <CharactersWithSpaces>2883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2020-06-12T01:22:00Z</dcterms:created>
  <dc:creator>马</dc:creator>
  <cp:lastModifiedBy>Yan</cp:lastModifiedBy>
  <cp:lastPrinted>2018-07-09T08:38:00Z</cp:lastPrinted>
  <dcterms:modified xsi:type="dcterms:W3CDTF">2021-03-13T09:32:08Z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