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8"/>
          <w:szCs w:val="48"/>
        </w:rPr>
      </w:pPr>
      <w:bookmarkStart w:id="5" w:name="_GoBack"/>
      <w:bookmarkEnd w:id="5"/>
      <w:r>
        <w:rPr>
          <w:rFonts w:hint="eastAsia"/>
          <w:b/>
          <w:bCs/>
          <w:sz w:val="48"/>
          <w:szCs w:val="48"/>
        </w:rPr>
        <w:t>贵州省毕节市能源整合项目融资方案</w:t>
      </w:r>
    </w:p>
    <w:p>
      <w:pPr>
        <w:jc w:val="center"/>
        <w:rPr>
          <w:rFonts w:hint="eastAsia"/>
          <w:b/>
          <w:bCs/>
          <w:sz w:val="48"/>
          <w:szCs w:val="48"/>
        </w:rPr>
      </w:pPr>
    </w:p>
    <w:p>
      <w:pPr>
        <w:pStyle w:val="4"/>
        <w:numPr>
          <w:ilvl w:val="0"/>
          <w:numId w:val="1"/>
        </w:numPr>
        <w:ind w:firstLineChars="0"/>
        <w:rPr>
          <w:rFonts w:ascii="宋体" w:hAnsi="宋体" w:eastAsia="宋体"/>
          <w:b/>
          <w:bCs/>
          <w:sz w:val="28"/>
          <w:szCs w:val="28"/>
        </w:rPr>
      </w:pPr>
      <w:r>
        <w:rPr>
          <w:rFonts w:hint="eastAsia" w:ascii="宋体" w:hAnsi="宋体" w:eastAsia="宋体"/>
          <w:b/>
          <w:bCs/>
          <w:sz w:val="28"/>
          <w:szCs w:val="28"/>
        </w:rPr>
        <w:t>项目立项起源</w:t>
      </w:r>
    </w:p>
    <w:p>
      <w:pPr>
        <w:pStyle w:val="4"/>
        <w:ind w:left="720" w:firstLine="0" w:firstLineChars="0"/>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r>
        <w:rPr>
          <w:rFonts w:hint="eastAsia" w:ascii="宋体" w:hAnsi="宋体" w:eastAsia="宋体"/>
          <w:b/>
          <w:bCs/>
          <w:sz w:val="28"/>
          <w:szCs w:val="28"/>
        </w:rPr>
        <w:t>项目融资主体</w:t>
      </w:r>
    </w:p>
    <w:p>
      <w:pPr>
        <w:pStyle w:val="4"/>
        <w:ind w:firstLine="562"/>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bookmarkStart w:id="0" w:name="_Hlk77368130"/>
      <w:r>
        <w:rPr>
          <w:rFonts w:hint="eastAsia" w:ascii="宋体" w:hAnsi="宋体" w:eastAsia="宋体"/>
          <w:b/>
          <w:bCs/>
          <w:sz w:val="28"/>
          <w:szCs w:val="28"/>
        </w:rPr>
        <w:t>项目融资额度及资金使用方案</w:t>
      </w:r>
    </w:p>
    <w:bookmarkEnd w:id="0"/>
    <w:p>
      <w:pPr>
        <w:pStyle w:val="4"/>
        <w:ind w:firstLine="562"/>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bookmarkStart w:id="1" w:name="_Hlk77370942"/>
      <w:r>
        <w:rPr>
          <w:rFonts w:hint="eastAsia" w:ascii="宋体" w:hAnsi="宋体" w:eastAsia="宋体"/>
          <w:b/>
          <w:bCs/>
          <w:sz w:val="28"/>
          <w:szCs w:val="28"/>
        </w:rPr>
        <w:t>项目融资回本担保及年化率的回报方式</w:t>
      </w:r>
    </w:p>
    <w:bookmarkEnd w:id="1"/>
    <w:p>
      <w:pPr>
        <w:pStyle w:val="4"/>
        <w:ind w:firstLine="562"/>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bookmarkStart w:id="2" w:name="_Hlk77371442"/>
      <w:r>
        <w:rPr>
          <w:rFonts w:hint="eastAsia" w:ascii="宋体" w:hAnsi="宋体" w:eastAsia="宋体"/>
          <w:b/>
          <w:bCs/>
          <w:sz w:val="28"/>
          <w:szCs w:val="28"/>
        </w:rPr>
        <w:t>资金方和项目主体的合作模式</w:t>
      </w:r>
    </w:p>
    <w:bookmarkEnd w:id="2"/>
    <w:p>
      <w:pPr>
        <w:pStyle w:val="4"/>
        <w:ind w:firstLine="562"/>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r>
        <w:rPr>
          <w:rFonts w:hint="eastAsia" w:ascii="宋体" w:hAnsi="宋体" w:eastAsia="宋体"/>
          <w:b/>
          <w:bCs/>
          <w:sz w:val="28"/>
          <w:szCs w:val="28"/>
        </w:rPr>
        <w:t>项目实施过程中资方收益与回报</w:t>
      </w:r>
    </w:p>
    <w:p>
      <w:pPr>
        <w:pStyle w:val="4"/>
        <w:ind w:firstLine="562"/>
        <w:rPr>
          <w:rFonts w:hint="eastAsia" w:ascii="宋体" w:hAnsi="宋体" w:eastAsia="宋体"/>
          <w:b/>
          <w:bCs/>
          <w:sz w:val="28"/>
          <w:szCs w:val="28"/>
        </w:rPr>
      </w:pPr>
    </w:p>
    <w:p>
      <w:pPr>
        <w:pStyle w:val="4"/>
        <w:numPr>
          <w:ilvl w:val="0"/>
          <w:numId w:val="1"/>
        </w:numPr>
        <w:ind w:firstLineChars="0"/>
        <w:rPr>
          <w:rFonts w:ascii="宋体" w:hAnsi="宋体" w:eastAsia="宋体"/>
          <w:b/>
          <w:bCs/>
          <w:sz w:val="28"/>
          <w:szCs w:val="28"/>
        </w:rPr>
      </w:pPr>
      <w:bookmarkStart w:id="3" w:name="_Hlk77373537"/>
      <w:r>
        <w:rPr>
          <w:rFonts w:hint="eastAsia" w:ascii="宋体" w:hAnsi="宋体" w:eastAsia="宋体"/>
          <w:b/>
          <w:bCs/>
          <w:sz w:val="28"/>
          <w:szCs w:val="28"/>
        </w:rPr>
        <w:t>附件---项目开展所需相关支撑文件</w:t>
      </w:r>
    </w:p>
    <w:bookmarkEnd w:id="3"/>
    <w:p>
      <w:pPr>
        <w:rPr>
          <w:rFonts w:ascii="宋体" w:hAnsi="宋体" w:eastAsia="宋体"/>
          <w:b/>
          <w:bCs/>
          <w:sz w:val="28"/>
          <w:szCs w:val="28"/>
        </w:rPr>
      </w:pPr>
    </w:p>
    <w:p>
      <w:pPr>
        <w:rPr>
          <w:rFonts w:ascii="宋体" w:hAnsi="宋体" w:eastAsia="宋体"/>
          <w:b/>
          <w:bCs/>
          <w:sz w:val="28"/>
          <w:szCs w:val="28"/>
        </w:rPr>
      </w:pPr>
    </w:p>
    <w:p>
      <w:pPr>
        <w:rPr>
          <w:rFonts w:ascii="宋体" w:hAnsi="宋体" w:eastAsia="宋体"/>
          <w:b/>
          <w:bCs/>
          <w:sz w:val="28"/>
          <w:szCs w:val="28"/>
        </w:rPr>
      </w:pPr>
    </w:p>
    <w:p>
      <w:pPr>
        <w:rPr>
          <w:rFonts w:ascii="宋体" w:hAnsi="宋体" w:eastAsia="宋体"/>
          <w:b/>
          <w:bCs/>
          <w:sz w:val="28"/>
          <w:szCs w:val="28"/>
        </w:rPr>
      </w:pPr>
    </w:p>
    <w:p>
      <w:pPr>
        <w:rPr>
          <w:rFonts w:ascii="宋体" w:hAnsi="宋体" w:eastAsia="宋体"/>
          <w:b/>
          <w:bCs/>
          <w:sz w:val="28"/>
          <w:szCs w:val="28"/>
        </w:rPr>
      </w:pPr>
    </w:p>
    <w:p>
      <w:pPr>
        <w:rPr>
          <w:rFonts w:ascii="宋体" w:hAnsi="宋体" w:eastAsia="宋体"/>
          <w:b/>
          <w:bCs/>
          <w:sz w:val="28"/>
          <w:szCs w:val="28"/>
        </w:rPr>
      </w:pPr>
    </w:p>
    <w:p>
      <w:pPr>
        <w:pStyle w:val="4"/>
        <w:numPr>
          <w:ilvl w:val="0"/>
          <w:numId w:val="2"/>
        </w:numPr>
        <w:ind w:firstLineChars="0"/>
        <w:rPr>
          <w:rFonts w:ascii="宋体" w:hAnsi="宋体" w:eastAsia="宋体"/>
          <w:b/>
          <w:bCs/>
          <w:sz w:val="28"/>
          <w:szCs w:val="28"/>
        </w:rPr>
      </w:pPr>
      <w:r>
        <w:rPr>
          <w:rFonts w:hint="eastAsia" w:ascii="宋体" w:hAnsi="宋体" w:eastAsia="宋体"/>
          <w:b/>
          <w:bCs/>
          <w:sz w:val="28"/>
          <w:szCs w:val="28"/>
        </w:rPr>
        <w:t>项目起源</w:t>
      </w:r>
    </w:p>
    <w:p>
      <w:pPr>
        <w:pStyle w:val="4"/>
        <w:numPr>
          <w:ilvl w:val="0"/>
          <w:numId w:val="3"/>
        </w:numPr>
        <w:ind w:left="0" w:firstLine="851" w:firstLineChars="0"/>
        <w:rPr>
          <w:rFonts w:ascii="宋体" w:hAnsi="宋体" w:eastAsia="宋体"/>
          <w:b/>
          <w:bCs/>
          <w:sz w:val="28"/>
          <w:szCs w:val="28"/>
        </w:rPr>
      </w:pPr>
      <w:r>
        <w:rPr>
          <w:rFonts w:hint="eastAsia" w:ascii="宋体" w:hAnsi="宋体" w:eastAsia="宋体"/>
          <w:b/>
          <w:bCs/>
          <w:sz w:val="28"/>
          <w:szCs w:val="28"/>
        </w:rPr>
        <w:t>依据《国家发展改革委办公厅关于“十四五”期间采煤沉陷区综合治理和独立工矿区改造提升工程复函》（发改办振兴【2</w:t>
      </w:r>
      <w:r>
        <w:rPr>
          <w:rFonts w:ascii="宋体" w:hAnsi="宋体" w:eastAsia="宋体"/>
          <w:b/>
          <w:bCs/>
          <w:sz w:val="28"/>
          <w:szCs w:val="28"/>
        </w:rPr>
        <w:t>020</w:t>
      </w:r>
      <w:r>
        <w:rPr>
          <w:rFonts w:hint="eastAsia" w:ascii="宋体" w:hAnsi="宋体" w:eastAsia="宋体"/>
          <w:b/>
          <w:bCs/>
          <w:sz w:val="28"/>
          <w:szCs w:val="28"/>
        </w:rPr>
        <w:t>】9</w:t>
      </w:r>
      <w:r>
        <w:rPr>
          <w:rFonts w:ascii="宋体" w:hAnsi="宋体" w:eastAsia="宋体"/>
          <w:b/>
          <w:bCs/>
          <w:sz w:val="28"/>
          <w:szCs w:val="28"/>
        </w:rPr>
        <w:t>67</w:t>
      </w:r>
      <w:r>
        <w:rPr>
          <w:rFonts w:hint="eastAsia" w:ascii="宋体" w:hAnsi="宋体" w:eastAsia="宋体"/>
          <w:b/>
          <w:bCs/>
          <w:sz w:val="28"/>
          <w:szCs w:val="28"/>
        </w:rPr>
        <w:t>号）文件批复，</w:t>
      </w:r>
      <w:r>
        <w:rPr>
          <w:rFonts w:hint="eastAsia" w:ascii="宋体" w:hAnsi="宋体" w:eastAsia="宋体" w:cs="仿宋"/>
          <w:b/>
          <w:bCs/>
          <w:sz w:val="28"/>
          <w:szCs w:val="28"/>
        </w:rPr>
        <w:t>《自然资源部关于探索利用市场化方式推进矿山生态修复的意见》（自然资规</w:t>
      </w:r>
      <w:r>
        <w:rPr>
          <w:rFonts w:hint="eastAsia" w:ascii="宋体" w:hAnsi="宋体" w:eastAsia="宋体"/>
          <w:b/>
          <w:bCs/>
          <w:sz w:val="28"/>
          <w:szCs w:val="28"/>
        </w:rPr>
        <w:t>〔2</w:t>
      </w:r>
      <w:r>
        <w:rPr>
          <w:rFonts w:hint="eastAsia" w:ascii="宋体" w:hAnsi="宋体" w:eastAsia="宋体" w:cs="仿宋"/>
          <w:b/>
          <w:bCs/>
          <w:sz w:val="28"/>
          <w:szCs w:val="28"/>
        </w:rPr>
        <w:t>019〕6号）、《贵州省探索利用市场化方式推进矿山生态修复实施办法》的通知（黔自然资规〔2020〕2号）、</w:t>
      </w:r>
      <w:r>
        <w:rPr>
          <w:rFonts w:hint="eastAsia" w:ascii="宋体" w:hAnsi="宋体" w:eastAsia="宋体"/>
          <w:b/>
          <w:bCs/>
          <w:sz w:val="28"/>
          <w:szCs w:val="28"/>
        </w:rPr>
        <w:t>贵州省发改委责令织金县人民政府组织采煤沉陷区综合治理工程的实施，织金县政府制定了相应工作方案，邀请国电投金元集团、毕节市工业能源投资建设有限公司、中国二冶集团公司共同参与织金县采煤矿区沉陷区的综合治理，并采取市场化运作，完成沉陷区生态修复。</w:t>
      </w:r>
    </w:p>
    <w:p>
      <w:pPr>
        <w:pStyle w:val="4"/>
        <w:numPr>
          <w:ilvl w:val="0"/>
          <w:numId w:val="3"/>
        </w:numPr>
        <w:ind w:left="0" w:firstLine="993" w:firstLineChars="0"/>
        <w:rPr>
          <w:rFonts w:ascii="宋体" w:hAnsi="宋体" w:eastAsia="宋体" w:cs="仿宋"/>
          <w:b/>
          <w:bCs/>
          <w:sz w:val="28"/>
          <w:szCs w:val="28"/>
        </w:rPr>
      </w:pPr>
      <w:r>
        <w:rPr>
          <w:rFonts w:hint="eastAsia" w:ascii="宋体" w:hAnsi="宋体" w:eastAsia="宋体"/>
          <w:b/>
          <w:bCs/>
          <w:sz w:val="28"/>
          <w:szCs w:val="28"/>
        </w:rPr>
        <w:t>依据</w:t>
      </w:r>
      <w:r>
        <w:rPr>
          <w:rFonts w:hint="eastAsia" w:ascii="宋体" w:hAnsi="宋体" w:eastAsia="宋体" w:cs="仿宋"/>
          <w:b/>
          <w:bCs/>
          <w:sz w:val="28"/>
          <w:szCs w:val="28"/>
        </w:rPr>
        <w:t>《贵州省煤矿企业兼并重组工作实施细则》（黔能源办</w:t>
      </w:r>
      <w:r>
        <w:rPr>
          <w:rFonts w:hint="eastAsia" w:ascii="宋体" w:hAnsi="宋体" w:eastAsia="宋体"/>
          <w:b/>
          <w:bCs/>
          <w:sz w:val="28"/>
          <w:szCs w:val="28"/>
        </w:rPr>
        <w:t>〔2</w:t>
      </w:r>
      <w:r>
        <w:rPr>
          <w:rFonts w:hint="eastAsia" w:ascii="宋体" w:hAnsi="宋体" w:eastAsia="宋体" w:cs="仿宋"/>
          <w:b/>
          <w:bCs/>
          <w:sz w:val="28"/>
          <w:szCs w:val="28"/>
        </w:rPr>
        <w:t>013〕120号）、《省能源局等八部门关于印发贵州省有序推进露天煤矿建设工作指引的通知》（黔能源煤炭〔2020〕37号）等文件精神，为充分发展工业经济，释放煤炭产能，毕节市工业能源投资建设有限公司牵头国电投金元集团、中国二冶集团公司共同实施贵州省辖区内露天煤矿的整合开发项目。前期进行不少于五个矿的露天开采和整治。</w:t>
      </w:r>
    </w:p>
    <w:p>
      <w:pPr>
        <w:pStyle w:val="4"/>
        <w:numPr>
          <w:ilvl w:val="0"/>
          <w:numId w:val="2"/>
        </w:numPr>
        <w:ind w:firstLineChars="0"/>
        <w:rPr>
          <w:rFonts w:ascii="宋体" w:hAnsi="宋体" w:eastAsia="宋体"/>
          <w:b/>
          <w:bCs/>
          <w:sz w:val="28"/>
          <w:szCs w:val="28"/>
        </w:rPr>
      </w:pPr>
      <w:r>
        <w:rPr>
          <w:rFonts w:hint="eastAsia" w:ascii="宋体" w:hAnsi="宋体" w:eastAsia="宋体"/>
          <w:b/>
          <w:bCs/>
          <w:sz w:val="28"/>
          <w:szCs w:val="28"/>
        </w:rPr>
        <w:t>项目融资主体</w:t>
      </w:r>
    </w:p>
    <w:p>
      <w:pPr>
        <w:pStyle w:val="4"/>
        <w:ind w:firstLine="849" w:firstLineChars="302"/>
        <w:rPr>
          <w:rFonts w:ascii="宋体" w:hAnsi="宋体" w:eastAsia="宋体"/>
          <w:b/>
          <w:bCs/>
          <w:sz w:val="28"/>
          <w:szCs w:val="28"/>
        </w:rPr>
      </w:pPr>
      <w:r>
        <w:rPr>
          <w:rFonts w:hint="eastAsia" w:ascii="宋体" w:hAnsi="宋体" w:eastAsia="宋体"/>
          <w:b/>
          <w:bCs/>
          <w:sz w:val="28"/>
          <w:szCs w:val="28"/>
        </w:rPr>
        <w:t>贵州省毕节市能源整合项目是由国电投金元集团贵州金元智慧能源有限公司牵头，毕节市工业能源投资建设有限公司、中国二冶共同参与的的大型能源整合项目。</w:t>
      </w:r>
    </w:p>
    <w:p>
      <w:pPr>
        <w:spacing w:line="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贵州金元智慧能源有限公司为国家电投集团贵州金元股份有限公司子公司，是国家电投集团贵州金元股份有限公司确定的智慧能源平台公司，具有平台大、资金雄厚、信誉好等优势。贵州金元从煤电联营有利于维护国家能源安全，有利于维护市场保供和社会经济稳定，有利于兼顾电厂方和煤矿方的经济利益，且发展煤电联营有国家和地方的相关文件作支撑，包括但不限于：国家发展改革委印发《关于发展煤电联营的指导意见》的通知（发改能源〔2016〕857号），国家发展改革委、国家能源局关于深入推进煤电联营促进产业升级的补充通知（发改能源〔2018〕1322号），国家发改委 国家能源局关于加大政策支持力度进一步推进煤电联营工作的通知（发改能源〔2019〕1556号），贵州省煤电联营实施方案（贵州省高效电力产业振兴领导小组2020年5月26日出台），同时作为项目配套国家电投集团贵州金元股份有限公司已立项在毕节市织金县新建火电厂，实现煤电联营，解决发电企业煤炭需求，贵州金元智慧能源有限公司拟与毕节市工业能源投资建设有限公司共同申请露天煤矿项目以及参与投资毕节市织金县采煤沉陷区综合治理项目，并作为施工保障邀请中国二冶集团有限公司参与共同开发施工。</w:t>
      </w:r>
    </w:p>
    <w:p>
      <w:pPr>
        <w:spacing w:line="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毕节市工业能源建设投资有限公司系毕节市国有资产监督管理委员会下属工业、能源板块投资企业，根据毕节市委、市政府工作要求及产业布局，结合贵州省能源局等八部门联合下发的《贵州省有序推进露天煤矿建设工作指引》之规定，以及国家发改委、贵州省发改委关于推动采煤沉陷区综合治理项目的相关文件精神，拟申请露天煤矿项目开展以及投资参与毕节市织金县采煤沉陷区综合治理项目。</w:t>
      </w:r>
    </w:p>
    <w:p>
      <w:pPr>
        <w:spacing w:line="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中国二冶集团有限公司系中国冶金科工股份有限公司之全资子公司，资金雄厚，在矿山建设、特种设备安装及维护方面具备显著技术优势，同时具备大量矿山建设成功经验。现拟参与到贵州金元集团与毕节市工投两方共同申请的露天煤矿项目以及毕节市织金县采煤沉陷区综合治理项目中来。</w:t>
      </w:r>
    </w:p>
    <w:p>
      <w:pPr>
        <w:spacing w:line="60" w:lineRule="auto"/>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以上三方共同组成联合体，指定资方成立项目管理公司，统一组织项目的实施和前期管理。三方作为责任主体，共同指定资方项目管理公司作为融资主体，资方与上述三方共同监管资金的所有支出和流入。资方项目公司负责拥有上述三方对资方融资本金及年化利润的返还的管理和主张权责。</w:t>
      </w:r>
    </w:p>
    <w:p>
      <w:pPr>
        <w:pStyle w:val="4"/>
        <w:ind w:left="720" w:firstLine="0" w:firstLineChars="0"/>
        <w:rPr>
          <w:rFonts w:ascii="宋体" w:hAnsi="宋体" w:eastAsia="宋体"/>
          <w:b/>
          <w:bCs/>
          <w:sz w:val="28"/>
          <w:szCs w:val="28"/>
        </w:rPr>
      </w:pPr>
      <w:r>
        <w:rPr>
          <w:rFonts w:hint="eastAsia" w:ascii="宋体" w:hAnsi="宋体" w:eastAsia="宋体" w:cs="Times New Roman"/>
          <w:b/>
          <w:bCs/>
          <w:sz w:val="28"/>
          <w:szCs w:val="28"/>
        </w:rPr>
        <w:t>三、</w:t>
      </w:r>
      <w:r>
        <w:rPr>
          <w:rFonts w:hint="eastAsia" w:ascii="宋体" w:hAnsi="宋体" w:eastAsia="宋体"/>
          <w:b/>
          <w:bCs/>
          <w:sz w:val="28"/>
          <w:szCs w:val="28"/>
        </w:rPr>
        <w:t>项目融资额度及资金使用方案</w:t>
      </w:r>
    </w:p>
    <w:p>
      <w:pPr>
        <w:spacing w:line="60" w:lineRule="auto"/>
        <w:ind w:firstLine="562" w:firstLineChars="200"/>
        <w:rPr>
          <w:rFonts w:ascii="宋体" w:hAnsi="宋体" w:eastAsia="宋体" w:cs="Times New Roman"/>
          <w:b/>
          <w:bCs/>
          <w:sz w:val="28"/>
          <w:szCs w:val="28"/>
        </w:rPr>
      </w:pPr>
      <w:r>
        <w:rPr>
          <w:rFonts w:ascii="宋体" w:hAnsi="宋体" w:eastAsia="宋体" w:cs="Times New Roman"/>
          <w:b/>
          <w:bCs/>
          <w:sz w:val="28"/>
          <w:szCs w:val="28"/>
        </w:rPr>
        <w:tab/>
      </w:r>
      <w:r>
        <w:rPr>
          <w:rFonts w:hint="eastAsia" w:ascii="宋体" w:hAnsi="宋体" w:eastAsia="宋体" w:cs="Times New Roman"/>
          <w:b/>
          <w:bCs/>
          <w:sz w:val="28"/>
          <w:szCs w:val="28"/>
        </w:rPr>
        <w:t>织金县采矿沉陷区治理综合工程项目启动资金1</w:t>
      </w:r>
      <w:r>
        <w:rPr>
          <w:rFonts w:ascii="宋体" w:hAnsi="宋体" w:eastAsia="宋体" w:cs="Times New Roman"/>
          <w:b/>
          <w:bCs/>
          <w:sz w:val="28"/>
          <w:szCs w:val="28"/>
        </w:rPr>
        <w:t>.5</w:t>
      </w:r>
      <w:r>
        <w:rPr>
          <w:rFonts w:hint="eastAsia" w:ascii="宋体" w:hAnsi="宋体" w:eastAsia="宋体" w:cs="Times New Roman"/>
          <w:b/>
          <w:bCs/>
          <w:sz w:val="28"/>
          <w:szCs w:val="28"/>
        </w:rPr>
        <w:t>亿元，后期备用资金1</w:t>
      </w:r>
      <w:r>
        <w:rPr>
          <w:rFonts w:ascii="宋体" w:hAnsi="宋体" w:eastAsia="宋体" w:cs="Times New Roman"/>
          <w:b/>
          <w:bCs/>
          <w:sz w:val="28"/>
          <w:szCs w:val="28"/>
        </w:rPr>
        <w:t>.5</w:t>
      </w:r>
      <w:r>
        <w:rPr>
          <w:rFonts w:hint="eastAsia" w:ascii="宋体" w:hAnsi="宋体" w:eastAsia="宋体" w:cs="Times New Roman"/>
          <w:b/>
          <w:bCs/>
          <w:sz w:val="28"/>
          <w:szCs w:val="28"/>
        </w:rPr>
        <w:t>亿元，露天煤矿整治启动资金6亿元，具体使用时间点及回收时间节点如下：</w:t>
      </w:r>
    </w:p>
    <w:tbl>
      <w:tblPr>
        <w:tblStyle w:val="2"/>
        <w:tblW w:w="9882" w:type="dxa"/>
        <w:tblInd w:w="0" w:type="dxa"/>
        <w:tblLayout w:type="autofit"/>
        <w:tblCellMar>
          <w:top w:w="0" w:type="dxa"/>
          <w:left w:w="108" w:type="dxa"/>
          <w:bottom w:w="0" w:type="dxa"/>
          <w:right w:w="108" w:type="dxa"/>
        </w:tblCellMar>
      </w:tblPr>
      <w:tblGrid>
        <w:gridCol w:w="670"/>
        <w:gridCol w:w="1315"/>
        <w:gridCol w:w="1417"/>
        <w:gridCol w:w="1418"/>
        <w:gridCol w:w="1559"/>
        <w:gridCol w:w="3281"/>
        <w:gridCol w:w="222"/>
      </w:tblGrid>
      <w:tr>
        <w:tblPrEx>
          <w:tblCellMar>
            <w:top w:w="0" w:type="dxa"/>
            <w:left w:w="108" w:type="dxa"/>
            <w:bottom w:w="0" w:type="dxa"/>
            <w:right w:w="108" w:type="dxa"/>
          </w:tblCellMar>
        </w:tblPrEx>
        <w:trPr>
          <w:gridAfter w:val="1"/>
          <w:wAfter w:w="222" w:type="dxa"/>
          <w:trHeight w:val="312" w:hRule="atLeast"/>
        </w:trPr>
        <w:tc>
          <w:tcPr>
            <w:tcW w:w="9660" w:type="dxa"/>
            <w:gridSpan w:val="6"/>
            <w:vMerge w:val="restart"/>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毕节市沉陷区治理及露天煤矿整合项目资金使用进度表</w:t>
            </w:r>
          </w:p>
        </w:tc>
      </w:tr>
      <w:tr>
        <w:tblPrEx>
          <w:tblCellMar>
            <w:top w:w="0" w:type="dxa"/>
            <w:left w:w="108" w:type="dxa"/>
            <w:bottom w:w="0" w:type="dxa"/>
            <w:right w:w="108" w:type="dxa"/>
          </w:tblCellMar>
        </w:tblPrEx>
        <w:trPr>
          <w:trHeight w:val="312" w:hRule="atLeast"/>
        </w:trPr>
        <w:tc>
          <w:tcPr>
            <w:tcW w:w="9660" w:type="dxa"/>
            <w:gridSpan w:val="6"/>
            <w:vMerge w:val="continue"/>
            <w:tcBorders>
              <w:top w:val="nil"/>
              <w:left w:val="nil"/>
              <w:bottom w:val="nil"/>
              <w:right w:val="nil"/>
            </w:tcBorders>
            <w:vAlign w:val="center"/>
          </w:tcPr>
          <w:p>
            <w:pPr>
              <w:widowControl/>
              <w:jc w:val="left"/>
              <w:rPr>
                <w:rFonts w:ascii="宋体" w:hAnsi="宋体" w:eastAsia="宋体" w:cs="宋体"/>
                <w:b/>
                <w:bCs/>
                <w:kern w:val="0"/>
                <w:sz w:val="36"/>
                <w:szCs w:val="36"/>
              </w:rPr>
            </w:pPr>
          </w:p>
        </w:tc>
        <w:tc>
          <w:tcPr>
            <w:tcW w:w="222" w:type="dxa"/>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36"/>
                <w:szCs w:val="36"/>
              </w:rPr>
            </w:pPr>
          </w:p>
        </w:tc>
      </w:tr>
      <w:tr>
        <w:tblPrEx>
          <w:tblCellMar>
            <w:top w:w="0" w:type="dxa"/>
            <w:left w:w="108" w:type="dxa"/>
            <w:bottom w:w="0" w:type="dxa"/>
            <w:right w:w="108" w:type="dxa"/>
          </w:tblCellMar>
        </w:tblPrEx>
        <w:trPr>
          <w:trHeight w:val="312" w:hRule="atLeast"/>
        </w:trPr>
        <w:tc>
          <w:tcPr>
            <w:tcW w:w="67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315"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41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418"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59"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281"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08" w:hRule="atLeast"/>
        </w:trPr>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32"/>
                <w:szCs w:val="32"/>
              </w:rPr>
            </w:pPr>
            <w:r>
              <w:rPr>
                <w:rFonts w:hint="eastAsia" w:ascii="宋体" w:hAnsi="宋体" w:eastAsia="宋体" w:cs="宋体"/>
                <w:kern w:val="0"/>
                <w:sz w:val="32"/>
                <w:szCs w:val="32"/>
              </w:rPr>
              <w:t>序号</w:t>
            </w:r>
          </w:p>
        </w:tc>
        <w:tc>
          <w:tcPr>
            <w:tcW w:w="13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项目</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使用时间节点</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使用资金量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归还日期</w:t>
            </w:r>
          </w:p>
        </w:tc>
        <w:tc>
          <w:tcPr>
            <w:tcW w:w="32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32"/>
                <w:szCs w:val="32"/>
              </w:rPr>
            </w:pPr>
            <w:r>
              <w:rPr>
                <w:rFonts w:hint="eastAsia" w:ascii="宋体" w:hAnsi="宋体" w:eastAsia="宋体" w:cs="宋体"/>
                <w:kern w:val="0"/>
                <w:sz w:val="32"/>
                <w:szCs w:val="32"/>
              </w:rPr>
              <w:t>备注</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织金沉陷区治理</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8月中旬</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5000万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12月中旬</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织金县政府招投标开支</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00"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织金沉陷区治理</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9月初</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5000万</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1月中旬</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织金县政府矿区移民安置和矿区复勘支出</w:t>
            </w:r>
          </w:p>
        </w:tc>
        <w:tc>
          <w:tcPr>
            <w:tcW w:w="222" w:type="dxa"/>
            <w:vAlign w:val="center"/>
          </w:tcPr>
          <w:p>
            <w:pPr>
              <w:widowControl/>
              <w:jc w:val="left"/>
              <w:rPr>
                <w:rFonts w:ascii="Times New Roman" w:hAnsi="Times New Roman" w:eastAsia="Times New Roman" w:cs="Times New Roman"/>
                <w:kern w:val="0"/>
                <w:sz w:val="20"/>
                <w:szCs w:val="20"/>
              </w:rPr>
            </w:pPr>
          </w:p>
        </w:tc>
      </w:tr>
      <w:tr>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织金沉陷区治理</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项目开工后</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未定</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项目备用金（以支出为准）</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10月中旬</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10个月后</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马家田煤矿整合支出</w:t>
            </w:r>
          </w:p>
        </w:tc>
        <w:tc>
          <w:tcPr>
            <w:tcW w:w="222" w:type="dxa"/>
            <w:vAlign w:val="center"/>
          </w:tcPr>
          <w:p>
            <w:pPr>
              <w:widowControl/>
              <w:jc w:val="left"/>
              <w:rPr>
                <w:rFonts w:ascii="Times New Roman" w:hAnsi="Times New Roman" w:eastAsia="Times New Roman" w:cs="Times New Roman"/>
                <w:kern w:val="0"/>
                <w:sz w:val="20"/>
                <w:szCs w:val="20"/>
              </w:rPr>
            </w:pPr>
          </w:p>
        </w:tc>
      </w:tr>
      <w:tr>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10月中旬</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10个月后</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后寨煤矿的整合支出</w:t>
            </w:r>
          </w:p>
        </w:tc>
        <w:tc>
          <w:tcPr>
            <w:tcW w:w="222" w:type="dxa"/>
            <w:vAlign w:val="center"/>
          </w:tcPr>
          <w:p>
            <w:pPr>
              <w:widowControl/>
              <w:jc w:val="left"/>
              <w:rPr>
                <w:rFonts w:ascii="Times New Roman" w:hAnsi="Times New Roman" w:eastAsia="Times New Roman" w:cs="Times New Roman"/>
                <w:kern w:val="0"/>
                <w:sz w:val="20"/>
                <w:szCs w:val="20"/>
              </w:rPr>
            </w:pPr>
          </w:p>
        </w:tc>
      </w:tr>
      <w:tr>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未定（预估年底）</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兴隆煤矿整合支出</w:t>
            </w:r>
          </w:p>
        </w:tc>
        <w:tc>
          <w:tcPr>
            <w:tcW w:w="222" w:type="dxa"/>
            <w:vAlign w:val="center"/>
          </w:tcPr>
          <w:p>
            <w:pPr>
              <w:widowControl/>
              <w:jc w:val="left"/>
              <w:rPr>
                <w:rFonts w:ascii="Times New Roman" w:hAnsi="Times New Roman" w:eastAsia="Times New Roman" w:cs="Times New Roman"/>
                <w:kern w:val="0"/>
                <w:sz w:val="20"/>
                <w:szCs w:val="20"/>
              </w:rPr>
            </w:pPr>
          </w:p>
        </w:tc>
      </w:tr>
      <w:tr>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未定（预估年底）</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长银煤矿整合支出</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未定（预估2022年初）</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八八煤矿整合支出</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6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31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露天煤矿整合</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未定（预估2022年初）</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1亿</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黄什煤矿整合支出</w:t>
            </w:r>
          </w:p>
        </w:tc>
        <w:tc>
          <w:tcPr>
            <w:tcW w:w="222" w:type="dxa"/>
            <w:vAlign w:val="center"/>
          </w:tcPr>
          <w:p>
            <w:pPr>
              <w:widowControl/>
              <w:jc w:val="left"/>
              <w:rPr>
                <w:rFonts w:ascii="Times New Roman" w:hAnsi="Times New Roman" w:eastAsia="Times New Roman" w:cs="Times New Roman"/>
                <w:kern w:val="0"/>
                <w:sz w:val="20"/>
                <w:szCs w:val="20"/>
              </w:rPr>
            </w:pPr>
          </w:p>
        </w:tc>
      </w:tr>
    </w:tbl>
    <w:p>
      <w:pPr>
        <w:spacing w:line="60" w:lineRule="auto"/>
        <w:rPr>
          <w:rFonts w:ascii="宋体" w:hAnsi="宋体" w:eastAsia="宋体" w:cs="Times New Roman"/>
          <w:b/>
          <w:bCs/>
          <w:sz w:val="28"/>
          <w:szCs w:val="28"/>
        </w:rPr>
      </w:pPr>
      <w:r>
        <w:rPr>
          <w:rFonts w:ascii="宋体" w:hAnsi="宋体" w:eastAsia="宋体" w:cs="Times New Roman"/>
          <w:b/>
          <w:bCs/>
          <w:sz w:val="28"/>
          <w:szCs w:val="28"/>
        </w:rPr>
        <w:tab/>
      </w:r>
      <w:r>
        <w:rPr>
          <w:rFonts w:ascii="宋体" w:hAnsi="宋体" w:eastAsia="宋体" w:cs="Times New Roman"/>
          <w:b/>
          <w:bCs/>
          <w:sz w:val="28"/>
          <w:szCs w:val="28"/>
        </w:rPr>
        <w:tab/>
      </w:r>
      <w:r>
        <w:rPr>
          <w:rFonts w:hint="eastAsia" w:ascii="宋体" w:hAnsi="宋体" w:eastAsia="宋体" w:cs="Times New Roman"/>
          <w:b/>
          <w:bCs/>
          <w:sz w:val="28"/>
          <w:szCs w:val="28"/>
        </w:rPr>
        <w:t>以上资金都有资方控制的项目管理公司具体根据进度安排，任何支出依据联合体三方签字认可方能支出。</w:t>
      </w:r>
    </w:p>
    <w:p>
      <w:pPr>
        <w:pStyle w:val="4"/>
        <w:numPr>
          <w:ilvl w:val="1"/>
          <w:numId w:val="3"/>
        </w:numPr>
        <w:ind w:left="0" w:firstLine="851" w:firstLineChars="0"/>
        <w:rPr>
          <w:rFonts w:ascii="宋体" w:hAnsi="宋体" w:eastAsia="宋体"/>
          <w:b/>
          <w:bCs/>
          <w:sz w:val="28"/>
          <w:szCs w:val="28"/>
        </w:rPr>
      </w:pPr>
      <w:r>
        <w:rPr>
          <w:rFonts w:hint="eastAsia" w:ascii="宋体" w:hAnsi="宋体" w:eastAsia="宋体"/>
          <w:b/>
          <w:bCs/>
          <w:sz w:val="28"/>
          <w:szCs w:val="28"/>
        </w:rPr>
        <w:t>项目融资回本担保及年化率的回报方式</w:t>
      </w:r>
    </w:p>
    <w:p>
      <w:pPr>
        <w:ind w:firstLine="849" w:firstLineChars="302"/>
        <w:rPr>
          <w:rFonts w:ascii="宋体" w:hAnsi="宋体" w:eastAsia="宋体"/>
          <w:b/>
          <w:bCs/>
          <w:sz w:val="28"/>
          <w:szCs w:val="28"/>
        </w:rPr>
      </w:pPr>
      <w:r>
        <w:rPr>
          <w:rFonts w:hint="eastAsia" w:ascii="宋体" w:hAnsi="宋体" w:eastAsia="宋体"/>
          <w:b/>
          <w:bCs/>
          <w:sz w:val="28"/>
          <w:szCs w:val="28"/>
        </w:rPr>
        <w:t>资方成立项目管理公司将对资方出借资金进行日常管理，并进行有效监管，确保资金的专项使用。任何一笔专项支出，将由贵州金元智慧能源公司、毕节工业能源建设投资有限公司、中国二冶集团有限公司签字认可方能支出使用，所用资金的还本付息将由上述三家按三方战略合作协议约定共同承担。</w:t>
      </w:r>
    </w:p>
    <w:p>
      <w:pPr>
        <w:ind w:firstLine="849" w:firstLineChars="302"/>
        <w:rPr>
          <w:rFonts w:hint="eastAsia" w:ascii="宋体" w:hAnsi="宋体" w:eastAsia="宋体"/>
          <w:b/>
          <w:bCs/>
          <w:sz w:val="28"/>
          <w:szCs w:val="28"/>
        </w:rPr>
      </w:pPr>
      <w:r>
        <w:rPr>
          <w:rFonts w:hint="eastAsia" w:ascii="宋体" w:hAnsi="宋体" w:eastAsia="宋体"/>
          <w:b/>
          <w:bCs/>
          <w:sz w:val="28"/>
          <w:szCs w:val="28"/>
        </w:rPr>
        <w:t>同时项目所整合的矿区的1</w:t>
      </w:r>
      <w:r>
        <w:rPr>
          <w:rFonts w:ascii="宋体" w:hAnsi="宋体" w:eastAsia="宋体"/>
          <w:b/>
          <w:bCs/>
          <w:sz w:val="28"/>
          <w:szCs w:val="28"/>
        </w:rPr>
        <w:t>00</w:t>
      </w:r>
      <w:r>
        <w:rPr>
          <w:rFonts w:hint="eastAsia" w:ascii="宋体" w:hAnsi="宋体" w:eastAsia="宋体"/>
          <w:b/>
          <w:bCs/>
          <w:sz w:val="28"/>
          <w:szCs w:val="28"/>
        </w:rPr>
        <w:t>%股权和1</w:t>
      </w:r>
      <w:r>
        <w:rPr>
          <w:rFonts w:ascii="宋体" w:hAnsi="宋体" w:eastAsia="宋体"/>
          <w:b/>
          <w:bCs/>
          <w:sz w:val="28"/>
          <w:szCs w:val="28"/>
        </w:rPr>
        <w:t>00</w:t>
      </w:r>
      <w:r>
        <w:rPr>
          <w:rFonts w:hint="eastAsia" w:ascii="宋体" w:hAnsi="宋体" w:eastAsia="宋体"/>
          <w:b/>
          <w:bCs/>
          <w:sz w:val="28"/>
          <w:szCs w:val="28"/>
        </w:rPr>
        <w:t>%采矿权作资产抵押于资方项目管理公司，并无条件配合项目管理公司进行资产处理以及资金赎回。</w:t>
      </w:r>
    </w:p>
    <w:p>
      <w:pPr>
        <w:pStyle w:val="4"/>
        <w:ind w:left="720" w:firstLine="0" w:firstLineChars="0"/>
        <w:rPr>
          <w:rFonts w:ascii="宋体" w:hAnsi="宋体" w:eastAsia="宋体"/>
          <w:b/>
          <w:bCs/>
          <w:sz w:val="28"/>
          <w:szCs w:val="28"/>
        </w:rPr>
      </w:pPr>
      <w:r>
        <w:rPr>
          <w:rFonts w:hint="eastAsia" w:ascii="宋体" w:hAnsi="宋体" w:eastAsia="宋体"/>
          <w:b/>
          <w:bCs/>
          <w:sz w:val="28"/>
          <w:szCs w:val="28"/>
        </w:rPr>
        <w:t>五、资金方和项目主体的合作模式</w:t>
      </w:r>
    </w:p>
    <w:p>
      <w:pPr>
        <w:ind w:firstLine="849" w:firstLineChars="302"/>
        <w:rPr>
          <w:rFonts w:ascii="宋体" w:hAnsi="宋体" w:eastAsia="宋体"/>
          <w:b/>
          <w:bCs/>
          <w:sz w:val="28"/>
          <w:szCs w:val="28"/>
        </w:rPr>
      </w:pPr>
      <w:r>
        <w:rPr>
          <w:rFonts w:hint="eastAsia" w:ascii="宋体" w:hAnsi="宋体" w:eastAsia="宋体"/>
          <w:b/>
          <w:bCs/>
          <w:sz w:val="28"/>
          <w:szCs w:val="28"/>
        </w:rPr>
        <w:t>资方成立的项目管理公司在中国二冶获得总体项目的E</w:t>
      </w:r>
      <w:r>
        <w:rPr>
          <w:rFonts w:ascii="宋体" w:hAnsi="宋体" w:eastAsia="宋体"/>
          <w:b/>
          <w:bCs/>
          <w:sz w:val="28"/>
          <w:szCs w:val="28"/>
        </w:rPr>
        <w:t>PC</w:t>
      </w:r>
      <w:r>
        <w:rPr>
          <w:rFonts w:hint="eastAsia" w:ascii="宋体" w:hAnsi="宋体" w:eastAsia="宋体"/>
          <w:b/>
          <w:bCs/>
          <w:sz w:val="28"/>
          <w:szCs w:val="28"/>
        </w:rPr>
        <w:t>总承包后，按双方协议约定划拨总体项目总工程造价的2</w:t>
      </w:r>
      <w:r>
        <w:rPr>
          <w:rFonts w:ascii="宋体" w:hAnsi="宋体" w:eastAsia="宋体"/>
          <w:b/>
          <w:bCs/>
          <w:sz w:val="28"/>
          <w:szCs w:val="28"/>
        </w:rPr>
        <w:t>0</w:t>
      </w:r>
      <w:r>
        <w:rPr>
          <w:rFonts w:hint="eastAsia" w:ascii="宋体" w:hAnsi="宋体" w:eastAsia="宋体"/>
          <w:b/>
          <w:bCs/>
          <w:sz w:val="28"/>
          <w:szCs w:val="28"/>
        </w:rPr>
        <w:t>%的任务量作为资金年化率补偿，并由资方管理公司自行安排相应的施工团队，在中国二冶的统一管理下，按分包要求施工，同时按施工进度逐步分期回笼所借资金及资金占用中的年化利息邓相关费用。上述实施行为，都有资方管理公司派专业人士参与所有流程管理和实施，并及时履行对资方的相关承诺。</w:t>
      </w:r>
    </w:p>
    <w:p>
      <w:pPr>
        <w:ind w:left="420" w:firstLine="420"/>
        <w:rPr>
          <w:rFonts w:ascii="宋体" w:hAnsi="宋体" w:eastAsia="宋体"/>
          <w:b/>
          <w:bCs/>
          <w:sz w:val="28"/>
          <w:szCs w:val="28"/>
        </w:rPr>
      </w:pPr>
      <w:r>
        <w:rPr>
          <w:rFonts w:hint="eastAsia" w:ascii="宋体" w:hAnsi="宋体" w:eastAsia="宋体"/>
          <w:b/>
          <w:bCs/>
          <w:sz w:val="28"/>
          <w:szCs w:val="28"/>
        </w:rPr>
        <w:t>六、项目实施过程中资方收益与回报</w:t>
      </w:r>
    </w:p>
    <w:p>
      <w:pPr>
        <w:ind w:firstLine="849" w:firstLineChars="302"/>
        <w:rPr>
          <w:rFonts w:ascii="宋体" w:hAnsi="宋体" w:eastAsia="宋体"/>
          <w:b/>
          <w:bCs/>
          <w:sz w:val="28"/>
          <w:szCs w:val="28"/>
        </w:rPr>
      </w:pPr>
      <w:r>
        <w:rPr>
          <w:rFonts w:hint="eastAsia" w:ascii="宋体" w:hAnsi="宋体" w:eastAsia="宋体"/>
          <w:b/>
          <w:bCs/>
          <w:sz w:val="28"/>
          <w:szCs w:val="28"/>
        </w:rPr>
        <w:t>1、EPC项目实施过程中，将按照三方协议约定又上述三方主体在规定时间内及时归还资方投入全部资金，并兑现利息承诺！</w:t>
      </w:r>
    </w:p>
    <w:p>
      <w:pPr>
        <w:ind w:firstLine="849" w:firstLineChars="302"/>
        <w:rPr>
          <w:rFonts w:ascii="宋体" w:hAnsi="宋体" w:eastAsia="宋体"/>
          <w:b/>
          <w:bCs/>
          <w:sz w:val="28"/>
          <w:szCs w:val="28"/>
        </w:rPr>
      </w:pPr>
      <w:r>
        <w:rPr>
          <w:rFonts w:hint="eastAsia" w:ascii="宋体" w:hAnsi="宋体" w:eastAsia="宋体"/>
          <w:b/>
          <w:bCs/>
          <w:sz w:val="28"/>
          <w:szCs w:val="28"/>
        </w:rPr>
        <w:t>2、</w:t>
      </w:r>
      <w:bookmarkStart w:id="4" w:name="_Hlk77373003"/>
      <w:r>
        <w:rPr>
          <w:rFonts w:hint="eastAsia" w:ascii="宋体" w:hAnsi="宋体" w:eastAsia="宋体"/>
          <w:b/>
          <w:bCs/>
          <w:sz w:val="28"/>
          <w:szCs w:val="28"/>
        </w:rPr>
        <w:t>根据</w:t>
      </w:r>
      <w:r>
        <w:rPr>
          <w:rFonts w:ascii="宋体" w:hAnsi="宋体" w:eastAsia="宋体"/>
          <w:b/>
          <w:bCs/>
          <w:sz w:val="28"/>
          <w:szCs w:val="28"/>
        </w:rPr>
        <w:t>EPC</w:t>
      </w:r>
      <w:r>
        <w:rPr>
          <w:rFonts w:hint="eastAsia" w:ascii="宋体" w:hAnsi="宋体" w:eastAsia="宋体"/>
          <w:b/>
          <w:bCs/>
          <w:sz w:val="28"/>
          <w:szCs w:val="28"/>
        </w:rPr>
        <w:t>（估算）</w:t>
      </w:r>
      <w:bookmarkEnd w:id="4"/>
      <w:r>
        <w:rPr>
          <w:rFonts w:hint="eastAsia" w:ascii="宋体" w:hAnsi="宋体" w:eastAsia="宋体"/>
          <w:b/>
          <w:bCs/>
          <w:sz w:val="28"/>
          <w:szCs w:val="28"/>
        </w:rPr>
        <w:t>，织金县彭家湾煤矿沉陷区治理总施工量约为3</w:t>
      </w:r>
      <w:r>
        <w:rPr>
          <w:rFonts w:ascii="宋体" w:hAnsi="宋体" w:eastAsia="宋体"/>
          <w:b/>
          <w:bCs/>
          <w:sz w:val="28"/>
          <w:szCs w:val="28"/>
        </w:rPr>
        <w:t>80</w:t>
      </w:r>
      <w:r>
        <w:rPr>
          <w:rFonts w:hint="eastAsia" w:ascii="宋体" w:hAnsi="宋体" w:eastAsia="宋体"/>
          <w:b/>
          <w:bCs/>
          <w:sz w:val="28"/>
          <w:szCs w:val="28"/>
        </w:rPr>
        <w:t>亿（包含但不限于土方煤剥离施工、拆迁安置，矿区治理等施工内容），资方项目管理公司可按约定分配总造价2</w:t>
      </w:r>
      <w:r>
        <w:rPr>
          <w:rFonts w:ascii="宋体" w:hAnsi="宋体" w:eastAsia="宋体"/>
          <w:b/>
          <w:bCs/>
          <w:sz w:val="28"/>
          <w:szCs w:val="28"/>
        </w:rPr>
        <w:t>0</w:t>
      </w:r>
      <w:r>
        <w:rPr>
          <w:rFonts w:hint="eastAsia" w:ascii="宋体" w:hAnsi="宋体" w:eastAsia="宋体"/>
          <w:b/>
          <w:bCs/>
          <w:sz w:val="28"/>
          <w:szCs w:val="28"/>
        </w:rPr>
        <w:t>%的相应工程量作为项目利润和利息回报（总造价约为7</w:t>
      </w:r>
      <w:r>
        <w:rPr>
          <w:rFonts w:ascii="宋体" w:hAnsi="宋体" w:eastAsia="宋体"/>
          <w:b/>
          <w:bCs/>
          <w:sz w:val="28"/>
          <w:szCs w:val="28"/>
        </w:rPr>
        <w:t>6</w:t>
      </w:r>
      <w:r>
        <w:rPr>
          <w:rFonts w:hint="eastAsia" w:ascii="宋体" w:hAnsi="宋体" w:eastAsia="宋体"/>
          <w:b/>
          <w:bCs/>
          <w:sz w:val="28"/>
          <w:szCs w:val="28"/>
        </w:rPr>
        <w:t>亿元）备注：一切造价以2</w:t>
      </w:r>
      <w:r>
        <w:rPr>
          <w:rFonts w:ascii="宋体" w:hAnsi="宋体" w:eastAsia="宋体"/>
          <w:b/>
          <w:bCs/>
          <w:sz w:val="28"/>
          <w:szCs w:val="28"/>
        </w:rPr>
        <w:t>016</w:t>
      </w:r>
      <w:r>
        <w:rPr>
          <w:rFonts w:hint="eastAsia" w:ascii="宋体" w:hAnsi="宋体" w:eastAsia="宋体"/>
          <w:b/>
          <w:bCs/>
          <w:sz w:val="28"/>
          <w:szCs w:val="28"/>
        </w:rPr>
        <w:t>年贵州省工程造价不下浮为基准造价。</w:t>
      </w:r>
    </w:p>
    <w:p>
      <w:pPr>
        <w:ind w:firstLine="849" w:firstLineChars="302"/>
        <w:rPr>
          <w:rFonts w:ascii="宋体" w:hAnsi="宋体" w:eastAsia="宋体"/>
          <w:b/>
          <w:bCs/>
          <w:sz w:val="28"/>
          <w:szCs w:val="28"/>
        </w:rPr>
      </w:pPr>
      <w:r>
        <w:rPr>
          <w:rFonts w:hint="eastAsia" w:ascii="宋体" w:hAnsi="宋体" w:eastAsia="宋体"/>
          <w:b/>
          <w:bCs/>
          <w:sz w:val="28"/>
          <w:szCs w:val="28"/>
        </w:rPr>
        <w:t>3、上述三方根据各自优势联合进行露天煤矿开采与整治，拟收购及整合的煤矿不少于5个，包括不限于上述六个煤矿。根据</w:t>
      </w:r>
      <w:r>
        <w:rPr>
          <w:rFonts w:ascii="宋体" w:hAnsi="宋体" w:eastAsia="宋体"/>
          <w:b/>
          <w:bCs/>
          <w:sz w:val="28"/>
          <w:szCs w:val="28"/>
        </w:rPr>
        <w:t>EPC</w:t>
      </w:r>
      <w:r>
        <w:rPr>
          <w:rFonts w:hint="eastAsia" w:ascii="宋体" w:hAnsi="宋体" w:eastAsia="宋体"/>
          <w:b/>
          <w:bCs/>
          <w:sz w:val="28"/>
          <w:szCs w:val="28"/>
        </w:rPr>
        <w:t>（估算）上述露天煤矿整合招标测算工程量约为4</w:t>
      </w:r>
      <w:r>
        <w:rPr>
          <w:rFonts w:ascii="宋体" w:hAnsi="宋体" w:eastAsia="宋体"/>
          <w:b/>
          <w:bCs/>
          <w:sz w:val="28"/>
          <w:szCs w:val="28"/>
        </w:rPr>
        <w:t>40</w:t>
      </w:r>
      <w:r>
        <w:rPr>
          <w:rFonts w:hint="eastAsia" w:ascii="宋体" w:hAnsi="宋体" w:eastAsia="宋体"/>
          <w:b/>
          <w:bCs/>
          <w:sz w:val="28"/>
          <w:szCs w:val="28"/>
        </w:rPr>
        <w:t>亿元，资方项目管理公司可按约定分配总造价2</w:t>
      </w:r>
      <w:r>
        <w:rPr>
          <w:rFonts w:ascii="宋体" w:hAnsi="宋体" w:eastAsia="宋体"/>
          <w:b/>
          <w:bCs/>
          <w:sz w:val="28"/>
          <w:szCs w:val="28"/>
        </w:rPr>
        <w:t>0</w:t>
      </w:r>
      <w:r>
        <w:rPr>
          <w:rFonts w:hint="eastAsia" w:ascii="宋体" w:hAnsi="宋体" w:eastAsia="宋体"/>
          <w:b/>
          <w:bCs/>
          <w:sz w:val="28"/>
          <w:szCs w:val="28"/>
        </w:rPr>
        <w:t>%的相应工程量作为项目利润和利息回报（总造价约为</w:t>
      </w:r>
      <w:r>
        <w:rPr>
          <w:rFonts w:ascii="宋体" w:hAnsi="宋体" w:eastAsia="宋体"/>
          <w:b/>
          <w:bCs/>
          <w:sz w:val="28"/>
          <w:szCs w:val="28"/>
        </w:rPr>
        <w:t>88</w:t>
      </w:r>
      <w:r>
        <w:rPr>
          <w:rFonts w:hint="eastAsia" w:ascii="宋体" w:hAnsi="宋体" w:eastAsia="宋体"/>
          <w:b/>
          <w:bCs/>
          <w:sz w:val="28"/>
          <w:szCs w:val="28"/>
        </w:rPr>
        <w:t>亿元）备注：一切造价以2</w:t>
      </w:r>
      <w:r>
        <w:rPr>
          <w:rFonts w:ascii="宋体" w:hAnsi="宋体" w:eastAsia="宋体"/>
          <w:b/>
          <w:bCs/>
          <w:sz w:val="28"/>
          <w:szCs w:val="28"/>
        </w:rPr>
        <w:t>016</w:t>
      </w:r>
      <w:r>
        <w:rPr>
          <w:rFonts w:hint="eastAsia" w:ascii="宋体" w:hAnsi="宋体" w:eastAsia="宋体"/>
          <w:b/>
          <w:bCs/>
          <w:sz w:val="28"/>
          <w:szCs w:val="28"/>
        </w:rPr>
        <w:t>年贵州省工程造价不下浮为基准造价。</w:t>
      </w:r>
    </w:p>
    <w:p>
      <w:pPr>
        <w:ind w:firstLine="849" w:firstLineChars="302"/>
        <w:rPr>
          <w:rFonts w:hint="eastAsia" w:ascii="宋体" w:hAnsi="宋体" w:eastAsia="宋体"/>
          <w:b/>
          <w:bCs/>
          <w:sz w:val="28"/>
          <w:szCs w:val="28"/>
        </w:rPr>
      </w:pPr>
      <w:r>
        <w:rPr>
          <w:rFonts w:hint="eastAsia" w:ascii="宋体" w:hAnsi="宋体" w:eastAsia="宋体"/>
          <w:b/>
          <w:bCs/>
          <w:sz w:val="28"/>
          <w:szCs w:val="28"/>
        </w:rPr>
        <w:t>4、作为采矿沉陷区治理以及露天煤矿整治的施工配套措施，毕节市政府将核批六个加油站指标与三方及资方项目管理公司独立承建与运行管理。所需油料，将统一降低施工各方的运营成本（约占总工程量的5%），提高利润率。</w:t>
      </w:r>
    </w:p>
    <w:p>
      <w:pPr>
        <w:ind w:firstLine="849" w:firstLineChars="302"/>
        <w:rPr>
          <w:rFonts w:hint="eastAsia" w:ascii="宋体" w:hAnsi="宋体" w:eastAsia="宋体"/>
          <w:b/>
          <w:bCs/>
          <w:sz w:val="28"/>
          <w:szCs w:val="28"/>
        </w:rPr>
      </w:pPr>
    </w:p>
    <w:p>
      <w:pPr>
        <w:pStyle w:val="4"/>
        <w:ind w:left="720" w:firstLine="0" w:firstLineChars="0"/>
        <w:rPr>
          <w:rFonts w:ascii="宋体" w:hAnsi="宋体" w:eastAsia="宋体"/>
          <w:b/>
          <w:bCs/>
          <w:sz w:val="28"/>
          <w:szCs w:val="28"/>
        </w:rPr>
      </w:pPr>
      <w:r>
        <w:rPr>
          <w:rFonts w:ascii="宋体" w:hAnsi="宋体" w:eastAsia="宋体" w:cs="Times New Roman"/>
          <w:b/>
          <w:bCs/>
          <w:sz w:val="28"/>
          <w:szCs w:val="28"/>
        </w:rPr>
        <w:tab/>
      </w:r>
      <w:r>
        <w:rPr>
          <w:rFonts w:hint="eastAsia" w:ascii="宋体" w:hAnsi="宋体" w:eastAsia="宋体" w:cs="Times New Roman"/>
          <w:b/>
          <w:bCs/>
          <w:sz w:val="28"/>
          <w:szCs w:val="28"/>
        </w:rPr>
        <w:t>七、</w:t>
      </w:r>
      <w:r>
        <w:rPr>
          <w:rFonts w:hint="eastAsia" w:ascii="宋体" w:hAnsi="宋体" w:eastAsia="宋体"/>
          <w:b/>
          <w:bCs/>
          <w:sz w:val="28"/>
          <w:szCs w:val="28"/>
        </w:rPr>
        <w:t>附件---项目开展所需相关支撑文件</w:t>
      </w:r>
    </w:p>
    <w:p>
      <w:pPr>
        <w:pStyle w:val="4"/>
        <w:ind w:left="720" w:firstLine="0" w:firstLineChars="0"/>
        <w:rPr>
          <w:rFonts w:hint="eastAsia" w:ascii="宋体" w:hAnsi="宋体" w:eastAsia="宋体"/>
          <w:b/>
          <w:bCs/>
          <w:sz w:val="28"/>
          <w:szCs w:val="28"/>
        </w:rPr>
      </w:pPr>
      <w:r>
        <w:rPr>
          <w:rFonts w:hint="eastAsia" w:ascii="宋体" w:hAnsi="宋体" w:eastAsia="宋体"/>
          <w:b/>
          <w:bCs/>
          <w:sz w:val="28"/>
          <w:szCs w:val="28"/>
        </w:rPr>
        <w:t xml:space="preserve"> </w:t>
      </w:r>
      <w:r>
        <w:rPr>
          <w:rFonts w:ascii="宋体" w:hAnsi="宋体" w:eastAsia="宋体"/>
          <w:b/>
          <w:bCs/>
          <w:sz w:val="28"/>
          <w:szCs w:val="28"/>
        </w:rPr>
        <w:t xml:space="preserve"> </w:t>
      </w:r>
      <w:r>
        <w:rPr>
          <w:rFonts w:hint="eastAsia" w:ascii="宋体" w:hAnsi="宋体" w:eastAsia="宋体"/>
          <w:b/>
          <w:bCs/>
          <w:sz w:val="28"/>
          <w:szCs w:val="28"/>
        </w:rPr>
        <w:t>以上文件附件所示</w:t>
      </w:r>
    </w:p>
    <w:p>
      <w:pPr>
        <w:spacing w:line="60" w:lineRule="auto"/>
        <w:rPr>
          <w:rFonts w:hint="eastAsia" w:ascii="宋体" w:hAnsi="宋体" w:eastAsia="宋体" w:cs="Times New Roman"/>
          <w:b/>
          <w:bCs/>
          <w:sz w:val="28"/>
          <w:szCs w:val="28"/>
        </w:rPr>
      </w:pPr>
    </w:p>
    <w:p>
      <w:pPr>
        <w:rPr>
          <w:rFonts w:ascii="宋体" w:hAnsi="宋体" w:eastAsia="宋体"/>
          <w:b/>
          <w:bCs/>
          <w:sz w:val="28"/>
          <w:szCs w:val="28"/>
        </w:rPr>
      </w:pPr>
    </w:p>
    <w:p>
      <w:pPr>
        <w:rPr>
          <w:rFonts w:ascii="宋体" w:hAnsi="宋体" w:eastAsia="宋体"/>
          <w:b/>
          <w:bCs/>
          <w:sz w:val="28"/>
          <w:szCs w:val="28"/>
        </w:rPr>
      </w:pPr>
    </w:p>
    <w:p>
      <w:pPr>
        <w:rPr>
          <w:rFonts w:hint="eastAsia" w:ascii="宋体" w:hAnsi="宋体" w:eastAsia="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50D21"/>
    <w:multiLevelType w:val="multilevel"/>
    <w:tmpl w:val="0BD50D2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6C56A9"/>
    <w:multiLevelType w:val="multilevel"/>
    <w:tmpl w:val="766C56A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C51AE2"/>
    <w:multiLevelType w:val="multilevel"/>
    <w:tmpl w:val="7AC51AE2"/>
    <w:lvl w:ilvl="0" w:tentative="0">
      <w:start w:val="1"/>
      <w:numFmt w:val="decimal"/>
      <w:lvlText w:val="%1、"/>
      <w:lvlJc w:val="left"/>
      <w:pPr>
        <w:ind w:left="1440" w:hanging="720"/>
      </w:pPr>
      <w:rPr>
        <w:rFonts w:hint="default"/>
      </w:rPr>
    </w:lvl>
    <w:lvl w:ilvl="1" w:tentative="0">
      <w:start w:val="4"/>
      <w:numFmt w:val="japaneseCounting"/>
      <w:lvlText w:val="%2、"/>
      <w:lvlJc w:val="left"/>
      <w:pPr>
        <w:ind w:left="1860" w:hanging="72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7"/>
    <w:rsid w:val="001A24F4"/>
    <w:rsid w:val="00260743"/>
    <w:rsid w:val="002F2ABF"/>
    <w:rsid w:val="0034465B"/>
    <w:rsid w:val="003F5790"/>
    <w:rsid w:val="004115BF"/>
    <w:rsid w:val="00417855"/>
    <w:rsid w:val="00573EA6"/>
    <w:rsid w:val="005965A6"/>
    <w:rsid w:val="009B739B"/>
    <w:rsid w:val="00A67F87"/>
    <w:rsid w:val="00C50D80"/>
    <w:rsid w:val="00E17453"/>
    <w:rsid w:val="00E44F00"/>
    <w:rsid w:val="00EE5EB5"/>
    <w:rsid w:val="00EF46BC"/>
    <w:rsid w:val="00F010D7"/>
    <w:rsid w:val="00FD6B69"/>
    <w:rsid w:val="4975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461</Words>
  <Characters>2632</Characters>
  <Lines>21</Lines>
  <Paragraphs>6</Paragraphs>
  <TotalTime>181</TotalTime>
  <ScaleCrop>false</ScaleCrop>
  <LinksUpToDate>false</LinksUpToDate>
  <CharactersWithSpaces>3087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2021-07-16T13:12:00Z</dcterms:created>
  <dc:creator>llmlm</dc:creator>
  <cp:lastModifiedBy>董云秋</cp:lastModifiedBy>
  <dcterms:modified xsi:type="dcterms:W3CDTF">2021-07-21T07:01:35Z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CA463E0604D848BB8C966C3BF2EF3397</vt:lpwstr>
  </property>
</Properties>
</file>