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720" w:firstLineChars="85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广阳区36亩地块</w:t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地理位置：地块位于广阳区光明东道92号，东安路和光明东道交口处西，地块北侧紧挨荣盛格林郡府。属于廊坊市六中学区房片区。</w:t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2247900</wp:posOffset>
                </wp:positionV>
                <wp:extent cx="619125" cy="393700"/>
                <wp:effectExtent l="0" t="0" r="16510" b="127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979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格林郡府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35pt;margin-top:177pt;height:31pt;width:48.75pt;z-index:251660288;v-text-anchor:middle;mso-width-relative:page;mso-height-relative:page;" fillcolor="#4472C4 [3204]" filled="t" stroked="t" coordsize="21600,21600" o:gfxdata="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I9rr82wAAAAsBAAAPAAAAAAAAAAEAIAAAACIAAABkcnMvZG93&#10;bnJldi54bWxQSwECFAAUAAAACACHTuJA5SrmfG8CAADRBAAADgAAAAAAAAABACAAAAAqAQAAZHJz&#10;L2Uyb0RvYy54bWxQSwUGAAAAAAYABgBZAQAACwYAAAAA&#10;"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格林郡府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3964305</wp:posOffset>
                </wp:positionH>
                <wp:positionV relativeFrom="paragraph">
                  <wp:posOffset>2696210</wp:posOffset>
                </wp:positionV>
                <wp:extent cx="469265" cy="340360"/>
                <wp:effectExtent l="12700" t="0" r="1270" b="0"/>
                <wp:wrapNone/>
                <wp:docPr id="2" name="任意形状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4569">
                          <a:off x="0" y="0"/>
                          <a:ext cx="469037" cy="340477"/>
                        </a:xfrm>
                        <a:custGeom>
                          <a:avLst/>
                          <a:gdLst>
                            <a:gd name="connsiteX0" fmla="*/ 0 w 464234"/>
                            <a:gd name="connsiteY0" fmla="*/ 112542 h 295422"/>
                            <a:gd name="connsiteX1" fmla="*/ 28136 w 464234"/>
                            <a:gd name="connsiteY1" fmla="*/ 295422 h 295422"/>
                            <a:gd name="connsiteX2" fmla="*/ 464234 w 464234"/>
                            <a:gd name="connsiteY2" fmla="*/ 211016 h 295422"/>
                            <a:gd name="connsiteX3" fmla="*/ 407963 w 464234"/>
                            <a:gd name="connsiteY3" fmla="*/ 0 h 295422"/>
                            <a:gd name="connsiteX4" fmla="*/ 0 w 464234"/>
                            <a:gd name="connsiteY4" fmla="*/ 112542 h 2954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64234" h="295422">
                              <a:moveTo>
                                <a:pt x="0" y="112542"/>
                              </a:moveTo>
                              <a:lnTo>
                                <a:pt x="28136" y="295422"/>
                              </a:lnTo>
                              <a:lnTo>
                                <a:pt x="464234" y="211016"/>
                              </a:lnTo>
                              <a:lnTo>
                                <a:pt x="407963" y="0"/>
                              </a:lnTo>
                              <a:lnTo>
                                <a:pt x="0" y="112542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地块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任意形状 2" o:spid="_x0000_s1026" o:spt="100" style="position:absolute;left:0pt;margin-left:312.15pt;margin-top:212.3pt;height:26.8pt;width:36.95pt;rotation:594815f;z-index:251659264;v-text-anchor:middle;mso-width-relative:page;mso-height-relative:page;" fillcolor="#4472C4 [3204]" filled="t" stroked="t" coordsize="464234,295422" o:gfxdata="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" path="m0,112542l28136,295422,464234,211016,407963,0,0,112542xe">
                <v:path textboxrect="0,0,464234,295422" o:connectlocs="0,129705;28427,340477;469037,243198;412183,0;0,129705" o:connectangles="0,0,0,0,0"/>
                <v:fill on="t" focussize="0,0"/>
                <v:stroke weight="1pt" color="#2F528F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</w:rPr>
                        <w:t>地块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0" distR="0">
            <wp:extent cx="5270500" cy="39154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  <w:ind w:firstLineChars="0"/>
      </w:pPr>
      <w:r>
        <w:rPr>
          <w:rFonts w:hint="eastAsia"/>
        </w:rPr>
        <w:t>地块总面积内36.021亩。</w:t>
      </w:r>
    </w:p>
    <w:p>
      <w:pPr>
        <w:pStyle w:val="4"/>
        <w:ind w:left="720" w:firstLine="0" w:firstLineChars="0"/>
      </w:pPr>
      <w:r>
        <w:rPr>
          <w:rFonts w:hint="eastAsia"/>
        </w:rPr>
        <w:t>，</w:t>
      </w:r>
      <w:r>
        <w:rPr>
          <w:rFonts w:hint="eastAsia"/>
        </w:rPr>
        <w:drawing>
          <wp:inline distT="0" distB="0" distL="0" distR="0">
            <wp:extent cx="3854450" cy="28905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37" cy="28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720" w:firstLine="0" w:firstLineChars="0"/>
      </w:pPr>
      <w:r>
        <w:rPr>
          <w:rFonts w:hint="eastAsia"/>
        </w:rPr>
        <w:t>地块规划：容积率2.0，回迁面积8500平米，</w:t>
      </w:r>
    </w:p>
    <w:p>
      <w:pPr>
        <w:pStyle w:val="4"/>
        <w:ind w:left="720" w:firstLine="0" w:firstLineChars="0"/>
      </w:pPr>
    </w:p>
    <w:p>
      <w:pPr/>
      <w:r>
        <w:rPr>
          <w:rFonts w:hint="eastAsia"/>
        </w:rPr>
        <w:t>四．地块现状：完成地上拆迁户搬迁，地块可随时启动收储招拍挂程序。</w:t>
      </w:r>
    </w:p>
    <w:p>
      <w:pPr/>
      <w:r>
        <w:rPr>
          <w:rFonts w:hint="eastAsia"/>
        </w:rPr>
        <w:t>五，投资成本估算：</w:t>
      </w:r>
    </w:p>
    <w:p>
      <w:pPr>
        <w:pStyle w:val="4"/>
        <w:numPr>
          <w:ilvl w:val="0"/>
          <w:numId w:val="2"/>
        </w:numPr>
        <w:ind w:firstLineChars="0"/>
      </w:pPr>
      <w:r>
        <w:rPr>
          <w:rFonts w:hint="eastAsia"/>
        </w:rPr>
        <w:t>土地款： 按照450万每亩，是1.6</w:t>
      </w:r>
      <w:r>
        <w:t>2</w:t>
      </w:r>
      <w:r>
        <w:rPr>
          <w:rFonts w:hint="eastAsia"/>
        </w:rPr>
        <w:t>亿元。按照530万每亩是1.908亿元。</w:t>
      </w:r>
    </w:p>
    <w:p>
      <w:pPr>
        <w:pStyle w:val="4"/>
        <w:numPr>
          <w:ilvl w:val="0"/>
          <w:numId w:val="2"/>
        </w:numPr>
        <w:ind w:firstLineChars="0"/>
      </w:pPr>
      <w:r>
        <w:rPr>
          <w:rFonts w:hint="eastAsia"/>
        </w:rPr>
        <w:t>土地款返还，其中25亩因是工业用地工厂转住宅用地，返还50%，剩余11亩工厂宿舍房，可返还68%，</w:t>
      </w:r>
    </w:p>
    <w:p>
      <w:pPr>
        <w:pStyle w:val="4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color w:val="FF0000"/>
        </w:rPr>
        <w:t>土地出让金按450万每亩，</w:t>
      </w:r>
      <w:r>
        <w:rPr>
          <w:rFonts w:hint="eastAsia"/>
          <w:color w:val="FF0000"/>
        </w:rPr>
        <w:t>共计1</w:t>
      </w:r>
      <w:r>
        <w:rPr>
          <w:color w:val="FF0000"/>
        </w:rPr>
        <w:t>,62</w:t>
      </w:r>
      <w:r>
        <w:rPr>
          <w:rFonts w:hint="eastAsia"/>
          <w:color w:val="FF0000"/>
        </w:rPr>
        <w:t>亿元。</w:t>
      </w:r>
    </w:p>
    <w:p>
      <w:pPr>
        <w:pStyle w:val="4"/>
        <w:ind w:left="1440" w:firstLine="0" w:firstLineChars="0"/>
        <w:rPr>
          <w:color w:val="FF0000"/>
        </w:rPr>
      </w:pPr>
      <w:r>
        <w:rPr>
          <w:rFonts w:hint="eastAsia"/>
          <w:color w:val="FF0000"/>
        </w:rPr>
        <w:t>其中</w:t>
      </w:r>
      <w:r>
        <w:rPr>
          <w:rFonts w:hint="eastAsia"/>
          <w:color w:val="FF0000"/>
        </w:rPr>
        <w:t>25亩返还5625万元；</w:t>
      </w:r>
    </w:p>
    <w:p>
      <w:pPr>
        <w:pStyle w:val="4"/>
        <w:ind w:left="720" w:firstLine="240" w:firstLineChars="100"/>
        <w:rPr>
          <w:color w:val="FF0000"/>
        </w:rPr>
      </w:pPr>
      <w:r>
        <w:rPr>
          <w:color w:val="FF0000"/>
        </w:rPr>
        <w:t>11</w:t>
      </w:r>
      <w:r>
        <w:rPr>
          <w:rFonts w:hint="eastAsia"/>
          <w:color w:val="FF0000"/>
        </w:rPr>
        <w:t>亩返还3366万元；共计返还8</w:t>
      </w:r>
      <w:r>
        <w:rPr>
          <w:color w:val="FF0000"/>
        </w:rPr>
        <w:t xml:space="preserve"> </w:t>
      </w:r>
      <w:r>
        <w:rPr>
          <w:rFonts w:hint="eastAsia"/>
          <w:color w:val="FF0000"/>
        </w:rPr>
        <w:t>991万元。实际缴纳土地款7</w:t>
      </w:r>
      <w:r>
        <w:rPr>
          <w:color w:val="FF0000"/>
        </w:rPr>
        <w:t>209</w:t>
      </w:r>
      <w:r>
        <w:rPr>
          <w:rFonts w:hint="eastAsia"/>
          <w:color w:val="FF0000"/>
        </w:rPr>
        <w:t>万元。</w:t>
      </w:r>
    </w:p>
    <w:p>
      <w:pPr>
        <w:pStyle w:val="4"/>
        <w:numPr>
          <w:ilvl w:val="0"/>
          <w:numId w:val="3"/>
        </w:numPr>
        <w:ind w:firstLineChars="0"/>
        <w:rPr>
          <w:color w:val="FF0000"/>
        </w:rPr>
      </w:pPr>
      <w:r>
        <w:rPr>
          <w:rFonts w:hint="eastAsia"/>
          <w:color w:val="FF0000"/>
        </w:rPr>
        <w:t>按照530万每亩，</w:t>
      </w:r>
      <w:r>
        <w:rPr>
          <w:rFonts w:hint="eastAsia"/>
          <w:color w:val="FF0000"/>
        </w:rPr>
        <w:t>共计1</w:t>
      </w:r>
      <w:r>
        <w:rPr>
          <w:color w:val="FF0000"/>
        </w:rPr>
        <w:t>,94</w:t>
      </w:r>
      <w:r>
        <w:rPr>
          <w:rFonts w:hint="eastAsia"/>
          <w:color w:val="FF0000"/>
        </w:rPr>
        <w:t>亿元;</w:t>
      </w:r>
    </w:p>
    <w:p>
      <w:pPr>
        <w:pStyle w:val="4"/>
        <w:ind w:left="1440" w:firstLine="0" w:firstLineChars="0"/>
        <w:rPr>
          <w:color w:val="FF0000"/>
        </w:rPr>
      </w:pPr>
      <w:r>
        <w:rPr>
          <w:rFonts w:hint="eastAsia"/>
          <w:color w:val="FF0000"/>
        </w:rPr>
        <w:t>25亩返还6625万元，11亩返还3964万元。共计1</w:t>
      </w:r>
      <w:r>
        <w:rPr>
          <w:color w:val="FF0000"/>
        </w:rPr>
        <w:t>.</w:t>
      </w:r>
      <w:r>
        <w:rPr>
          <w:rFonts w:hint="eastAsia"/>
          <w:color w:val="FF0000"/>
        </w:rPr>
        <w:t>0589亿元。实际缴纳土地款为8491万元。</w:t>
      </w:r>
    </w:p>
    <w:p>
      <w:pPr/>
      <w:r>
        <w:rPr>
          <w:rFonts w:hint="eastAsia"/>
        </w:rPr>
        <w:t>3．一级</w:t>
      </w:r>
      <w:r>
        <w:rPr>
          <w:rFonts w:hint="eastAsia"/>
          <w:lang w:eastAsia="zh-CN"/>
        </w:rPr>
        <w:t>整理费1.3亿左右</w:t>
      </w:r>
      <w:r>
        <w:rPr>
          <w:rFonts w:hint="eastAsia"/>
        </w:rPr>
        <w:t>，该费用已经包含一级整理所有费用，包括拆迁补偿过度安置费等</w:t>
      </w:r>
      <w:r>
        <w:rPr>
          <w:rFonts w:hint="eastAsia"/>
          <w:lang w:eastAsia="zh-CN"/>
        </w:rPr>
        <w:t>。</w:t>
      </w:r>
    </w:p>
    <w:p>
      <w:pPr>
        <w:rPr>
          <w:rFonts w:ascii="Cambria" w:hAnsi="Cambria" w:cs="Cambria"/>
        </w:rPr>
      </w:pPr>
      <w:r>
        <w:t>4</w:t>
      </w:r>
      <w:r>
        <w:rPr>
          <w:rFonts w:hint="eastAsia"/>
        </w:rPr>
        <w:t>．</w:t>
      </w:r>
    </w:p>
    <w:p>
      <w:pPr>
        <w:rPr>
          <w:rFonts w:ascii="Cambria" w:hAnsi="Cambria" w:cs="Cambria"/>
        </w:rPr>
      </w:pPr>
    </w:p>
    <w:p>
      <w:pPr>
        <w:pStyle w:val="4"/>
        <w:numPr>
          <w:ilvl w:val="0"/>
          <w:numId w:val="1"/>
        </w:numPr>
        <w:ind w:firstLineChars="0"/>
        <w:rPr>
          <w:rFonts w:ascii="Cambria" w:hAnsi="Cambria" w:cs="Cambria"/>
        </w:rPr>
      </w:pPr>
      <w:r>
        <w:rPr>
          <w:rFonts w:hint="eastAsia" w:ascii="Cambria" w:hAnsi="Cambria" w:cs="Cambria"/>
        </w:rPr>
        <w:t>棚改手续资料：</w:t>
      </w:r>
    </w:p>
    <w:p>
      <w:pPr>
        <w:pStyle w:val="4"/>
        <w:ind w:left="720" w:firstLine="0" w:firstLineChars="0"/>
        <w:rPr>
          <w:rFonts w:ascii="Cambria" w:hAnsi="Cambria" w:cs="Cambria"/>
        </w:rPr>
      </w:pPr>
      <w:r>
        <w:rPr>
          <w:rFonts w:hint="eastAsia" w:ascii="Cambria" w:hAnsi="Cambria" w:cs="Cambria"/>
        </w:rPr>
        <w:drawing>
          <wp:inline distT="0" distB="0" distL="0" distR="0">
            <wp:extent cx="3010535" cy="2257425"/>
            <wp:effectExtent l="0" t="4445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2178" cy="2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mbria" w:hAnsi="Cambria" w:cs="Cambria"/>
        </w:rPr>
        <w:drawing>
          <wp:inline distT="0" distB="0" distL="0" distR="0">
            <wp:extent cx="2837180" cy="2127885"/>
            <wp:effectExtent l="0" t="953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6349" cy="214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mbria" w:hAnsi="Cambria" w:cs="Cambria"/>
        </w:rPr>
        <w:drawing>
          <wp:inline distT="0" distB="0" distL="0" distR="0">
            <wp:extent cx="4277360" cy="3208020"/>
            <wp:effectExtent l="127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84437" cy="321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mbria" w:hAnsi="Cambria" w:cs="Cambria"/>
        </w:rPr>
      </w:pPr>
      <w:r>
        <w:rPr>
          <w:rFonts w:hint="eastAsia" w:ascii="Cambria" w:hAnsi="Cambria" w:cs="Cambria"/>
        </w:rPr>
        <w:t>附图：红线图</w:t>
      </w:r>
    </w:p>
    <w:p>
      <w:pPr>
        <w:rPr>
          <w:rFonts w:hint="eastAsia" w:ascii="Cambria" w:hAnsi="Cambria" w:cs="Cambria"/>
        </w:rPr>
      </w:pPr>
      <w:r>
        <w:rPr>
          <w:rFonts w:hint="eastAsia" w:ascii="Cambria" w:hAnsi="Cambria" w:cs="Cambria"/>
        </w:rPr>
        <w:t>五，项目投资分析：</w:t>
      </w:r>
    </w:p>
    <w:p>
      <w:pPr>
        <w:pStyle w:val="4"/>
        <w:numPr>
          <w:ilvl w:val="0"/>
          <w:numId w:val="4"/>
        </w:numPr>
        <w:ind w:firstLineChars="0"/>
        <w:rPr>
          <w:rFonts w:hint="eastAsia" w:ascii="Cambria" w:hAnsi="Cambria" w:cs="Cambria"/>
        </w:rPr>
      </w:pPr>
      <w:r>
        <w:rPr>
          <w:rFonts w:hint="eastAsia" w:ascii="Cambria" w:hAnsi="Cambria" w:cs="Cambria"/>
        </w:rPr>
        <w:t>规划建筑面积：36亩，容积率2.0，绿地率：30%，建筑密度：14.39%；</w:t>
      </w:r>
    </w:p>
    <w:p>
      <w:pPr>
        <w:pStyle w:val="4"/>
        <w:ind w:left="720" w:firstLine="0" w:firstLineChars="0"/>
        <w:rPr>
          <w:rFonts w:ascii="Cambria" w:hAnsi="Cambria" w:cs="Cambria"/>
        </w:rPr>
      </w:pPr>
      <w:r>
        <w:rPr>
          <w:rFonts w:hint="eastAsia" w:ascii="Cambria" w:hAnsi="Cambria" w:cs="Cambria"/>
        </w:rPr>
        <w:t>总建筑面积</w:t>
      </w:r>
      <w:r>
        <w:rPr>
          <w:rFonts w:ascii="Cambria" w:hAnsi="Cambria" w:cs="Cambria"/>
        </w:rPr>
        <w:t>68105.81</w:t>
      </w:r>
      <w:r>
        <w:rPr>
          <w:rFonts w:hint="eastAsia" w:ascii="Cambria" w:hAnsi="Cambria" w:cs="Cambria"/>
        </w:rPr>
        <w:t>平米，地上建筑面积：48192平米（其中普通住宅：47091.91平米，配套公建1100.13平米），地下建筑面积：19913.57.平米（含地下室3099.95平米，地下车库：16813.62；）。居住人数：1421人，住宅户数：444套，住宅建筑平均层数：15.8层，平均套均面积106.06平米，机动车停车位：505个，地下停车位：505个。</w:t>
      </w:r>
    </w:p>
    <w:p>
      <w:pPr>
        <w:pStyle w:val="4"/>
        <w:numPr>
          <w:ilvl w:val="0"/>
          <w:numId w:val="4"/>
        </w:numPr>
        <w:ind w:firstLineChars="0"/>
      </w:pPr>
      <w:r>
        <w:rPr>
          <w:rFonts w:hint="eastAsia"/>
        </w:rPr>
        <w:t>回迁面积：8500平米。</w:t>
      </w:r>
    </w:p>
    <w:p>
      <w:pPr>
        <w:pStyle w:val="4"/>
        <w:numPr>
          <w:ilvl w:val="0"/>
          <w:numId w:val="4"/>
        </w:numPr>
        <w:ind w:firstLineChars="0"/>
      </w:pPr>
      <w:r>
        <w:rPr>
          <w:rFonts w:hint="eastAsia"/>
        </w:rPr>
        <w:t>建安成本按照3</w:t>
      </w:r>
      <w:r>
        <w:t>5</w:t>
      </w:r>
      <w:r>
        <w:rPr>
          <w:rFonts w:hint="eastAsia"/>
        </w:rPr>
        <w:t>00元</w:t>
      </w:r>
      <w:r>
        <w:t>/</w:t>
      </w:r>
      <w:r>
        <w:rPr>
          <w:rFonts w:hint="eastAsia"/>
        </w:rPr>
        <w:t>平米，其他各类成本等合计综合成本约</w:t>
      </w:r>
      <w:r>
        <w:rPr>
          <w:rFonts w:hint="eastAsia"/>
          <w:lang w:eastAsia="zh-CN"/>
        </w:rPr>
        <w:t>860</w:t>
      </w:r>
      <w:r>
        <w:rPr>
          <w:rFonts w:hint="eastAsia"/>
        </w:rPr>
        <w:t>0元</w:t>
      </w:r>
      <w:r>
        <w:t>/</w:t>
      </w:r>
      <w:r>
        <w:rPr>
          <w:rFonts w:hint="eastAsia"/>
        </w:rPr>
        <w:t>平米（土地成本/税收/运营等各类成本综合）。</w:t>
      </w:r>
    </w:p>
    <w:p>
      <w:pPr>
        <w:pStyle w:val="4"/>
        <w:numPr>
          <w:ilvl w:val="0"/>
          <w:numId w:val="5"/>
        </w:numPr>
        <w:ind w:firstLineChars="0"/>
      </w:pPr>
      <w:r>
        <w:rPr>
          <w:rFonts w:hint="eastAsia"/>
        </w:rPr>
        <w:t>地上面积：48192平米，其中可售面积39692平米，每平米</w:t>
      </w:r>
      <w:r>
        <w:rPr>
          <w:rFonts w:hint="eastAsia"/>
          <w:lang w:eastAsia="zh-CN"/>
        </w:rPr>
        <w:t>860</w:t>
      </w:r>
      <w:r>
        <w:rPr>
          <w:rFonts w:hint="eastAsia"/>
        </w:rPr>
        <w:t>0元=</w:t>
      </w:r>
      <w:r>
        <w:t>3.</w:t>
      </w:r>
      <w:r>
        <w:rPr>
          <w:rFonts w:hint="eastAsia"/>
          <w:lang w:eastAsia="zh-CN"/>
        </w:rPr>
        <w:t>41</w:t>
      </w:r>
      <w:r>
        <w:rPr>
          <w:rFonts w:hint="eastAsia"/>
        </w:rPr>
        <w:t>亿元；</w:t>
      </w:r>
    </w:p>
    <w:p>
      <w:pPr>
        <w:pStyle w:val="4"/>
        <w:ind w:left="960" w:firstLine="0" w:firstLineChars="0"/>
      </w:pPr>
      <w:r>
        <w:rPr>
          <w:rFonts w:hint="eastAsia"/>
        </w:rPr>
        <w:t>回迁面积：8500元，建安成本3</w:t>
      </w:r>
      <w:r>
        <w:t>5</w:t>
      </w:r>
      <w:r>
        <w:rPr>
          <w:rFonts w:hint="eastAsia"/>
        </w:rPr>
        <w:t>00元=</w:t>
      </w:r>
      <w:r>
        <w:t>2975</w:t>
      </w:r>
      <w:r>
        <w:rPr>
          <w:rFonts w:hint="eastAsia"/>
        </w:rPr>
        <w:t>万元</w:t>
      </w:r>
    </w:p>
    <w:p>
      <w:pPr>
        <w:pStyle w:val="4"/>
        <w:ind w:left="960" w:firstLine="0" w:firstLineChars="0"/>
        <w:rPr>
          <w:rFonts w:hint="eastAsia"/>
        </w:rPr>
      </w:pPr>
      <w:r>
        <w:rPr>
          <w:rFonts w:hint="eastAsia"/>
        </w:rPr>
        <w:t>成本合计：</w:t>
      </w:r>
      <w:r>
        <w:rPr>
          <w:rFonts w:hint="eastAsia"/>
          <w:lang w:eastAsia="zh-CN"/>
        </w:rPr>
        <w:t>3..7075</w:t>
      </w:r>
      <w:r>
        <w:rPr>
          <w:rFonts w:hint="eastAsia"/>
        </w:rPr>
        <w:t>亿元。</w:t>
      </w:r>
    </w:p>
    <w:p>
      <w:pPr>
        <w:pStyle w:val="4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地下成本：每平米按照3</w:t>
      </w:r>
      <w:r>
        <w:t>200</w:t>
      </w:r>
      <w:r>
        <w:rPr>
          <w:rFonts w:hint="eastAsia"/>
        </w:rPr>
        <w:t>元，地下19913.57平米=</w:t>
      </w:r>
      <w:r>
        <w:t>6372</w:t>
      </w:r>
      <w:r>
        <w:rPr>
          <w:rFonts w:hint="eastAsia"/>
        </w:rPr>
        <w:t>万元；</w:t>
      </w:r>
    </w:p>
    <w:p>
      <w:pPr>
        <w:pStyle w:val="4"/>
        <w:numPr>
          <w:ilvl w:val="0"/>
          <w:numId w:val="5"/>
        </w:numPr>
        <w:ind w:firstLineChars="0"/>
        <w:rPr>
          <w:rFonts w:hint="eastAsia"/>
        </w:rPr>
      </w:pPr>
      <w:r>
        <w:rPr>
          <w:rFonts w:hint="eastAsia"/>
        </w:rPr>
        <w:t>地上地下总成本约：</w:t>
      </w:r>
      <w:r>
        <w:t>4.</w:t>
      </w:r>
      <w:r>
        <w:rPr>
          <w:rFonts w:hint="eastAsia"/>
          <w:lang w:eastAsia="zh-CN"/>
        </w:rPr>
        <w:t>3447</w:t>
      </w:r>
      <w:r>
        <w:rPr>
          <w:rFonts w:hint="eastAsia"/>
        </w:rPr>
        <w:t>亿元。</w:t>
      </w:r>
    </w:p>
    <w:p>
      <w:pPr>
        <w:pStyle w:val="4"/>
        <w:ind w:left="960" w:firstLine="0" w:firstLineChars="0"/>
        <w:rPr>
          <w:rFonts w:hint="eastAsia"/>
        </w:rPr>
      </w:pPr>
    </w:p>
    <w:p>
      <w:pPr>
        <w:pStyle w:val="4"/>
        <w:numPr>
          <w:ilvl w:val="0"/>
          <w:numId w:val="4"/>
        </w:numPr>
        <w:ind w:firstLineChars="0"/>
      </w:pPr>
      <w:r>
        <w:rPr>
          <w:rFonts w:hint="eastAsia"/>
        </w:rPr>
        <w:t>销售额：</w:t>
      </w:r>
    </w:p>
    <w:p>
      <w:pPr>
        <w:pStyle w:val="4"/>
        <w:numPr>
          <w:ilvl w:val="0"/>
          <w:numId w:val="6"/>
        </w:numPr>
        <w:ind w:firstLineChars="0"/>
      </w:pPr>
      <w:r>
        <w:rPr>
          <w:rFonts w:hint="eastAsia"/>
        </w:rPr>
        <w:t>地上可售面积：4</w:t>
      </w:r>
      <w:r>
        <w:t>8192</w:t>
      </w:r>
      <w:r>
        <w:rPr>
          <w:rFonts w:hint="eastAsia"/>
        </w:rPr>
        <w:t>平米，每平米</w:t>
      </w:r>
      <w:r>
        <w:t>/</w:t>
      </w:r>
      <w:r>
        <w:rPr>
          <w:rFonts w:hint="eastAsia"/>
        </w:rPr>
        <w:t>15000元（周边二手房格林郡府等价格15000-16000元</w:t>
      </w:r>
      <w:r>
        <w:t>/</w:t>
      </w:r>
      <w:r>
        <w:rPr>
          <w:rFonts w:hint="eastAsia"/>
        </w:rPr>
        <w:t>平米）扣除回迁面积8500平米，剩余39692平米；</w:t>
      </w:r>
    </w:p>
    <w:p>
      <w:pPr>
        <w:pStyle w:val="4"/>
        <w:ind w:left="1440" w:firstLine="0" w:firstLineChars="0"/>
      </w:pPr>
      <w:r>
        <w:rPr>
          <w:rFonts w:hint="eastAsia"/>
        </w:rPr>
        <w:t>地上销售额：</w:t>
      </w:r>
      <w:r>
        <w:t>5.9538</w:t>
      </w:r>
      <w:r>
        <w:rPr>
          <w:rFonts w:hint="eastAsia"/>
        </w:rPr>
        <w:t>亿元。</w:t>
      </w:r>
    </w:p>
    <w:p>
      <w:pPr>
        <w:pStyle w:val="4"/>
        <w:ind w:left="1440" w:firstLine="0" w:firstLineChars="0"/>
        <w:rPr>
          <w:rFonts w:hint="eastAsia"/>
        </w:rPr>
      </w:pPr>
      <w:r>
        <w:rPr>
          <w:rFonts w:hint="eastAsia"/>
        </w:rPr>
        <w:t>按照每平米15</w:t>
      </w:r>
      <w:r>
        <w:t>500</w:t>
      </w:r>
      <w:r>
        <w:rPr>
          <w:rFonts w:hint="eastAsia"/>
        </w:rPr>
        <w:t>元，销售额为：6.1522</w:t>
      </w:r>
      <w:r>
        <w:t>6</w:t>
      </w:r>
      <w:r>
        <w:rPr>
          <w:rFonts w:hint="eastAsia"/>
        </w:rPr>
        <w:t>亿元；</w:t>
      </w:r>
    </w:p>
    <w:p>
      <w:pPr>
        <w:pStyle w:val="4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地下室销售额：3099.95平米，每平米按照成本收回计算，咱估算没有利润；（实际上按照每平米3</w:t>
      </w:r>
      <w:r>
        <w:t>200</w:t>
      </w:r>
      <w:r>
        <w:rPr>
          <w:rFonts w:hint="eastAsia"/>
        </w:rPr>
        <w:t>元销售是9</w:t>
      </w:r>
      <w:r>
        <w:t>92</w:t>
      </w:r>
      <w:r>
        <w:rPr>
          <w:rFonts w:hint="eastAsia"/>
        </w:rPr>
        <w:t>万元）</w:t>
      </w:r>
    </w:p>
    <w:p>
      <w:pPr>
        <w:pStyle w:val="4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t>地下车库销售额：505个，每个车位12万元；共计6060万元；地下车位收入不计算；</w:t>
      </w:r>
    </w:p>
    <w:p>
      <w:pPr>
        <w:pStyle w:val="4"/>
        <w:numPr>
          <w:ilvl w:val="0"/>
          <w:numId w:val="4"/>
        </w:numPr>
        <w:ind w:firstLineChars="0"/>
        <w:rPr>
          <w:rFonts w:hint="eastAsia"/>
          <w:color w:val="C00000"/>
        </w:rPr>
      </w:pPr>
      <w:r>
        <w:rPr>
          <w:rFonts w:hint="eastAsia"/>
          <w:color w:val="C00000"/>
        </w:rPr>
        <w:t>利润：地上住宅面积销售额：</w:t>
      </w:r>
      <w:r>
        <w:rPr>
          <w:color w:val="C00000"/>
        </w:rPr>
        <w:t>5.9538</w:t>
      </w:r>
      <w:r>
        <w:rPr>
          <w:rFonts w:hint="eastAsia"/>
          <w:color w:val="C00000"/>
        </w:rPr>
        <w:t>亿元-总成本：</w:t>
      </w:r>
      <w:r>
        <w:rPr>
          <w:color w:val="C00000"/>
        </w:rPr>
        <w:t>4.</w:t>
      </w:r>
      <w:r>
        <w:rPr>
          <w:rFonts w:hint="eastAsia"/>
          <w:color w:val="C00000"/>
          <w:lang w:eastAsia="zh-CN"/>
        </w:rPr>
        <w:t>34</w:t>
      </w:r>
      <w:r>
        <w:rPr>
          <w:rFonts w:hint="eastAsia"/>
          <w:color w:val="C00000"/>
        </w:rPr>
        <w:t>亿元=</w:t>
      </w:r>
      <w:r>
        <w:rPr>
          <w:color w:val="C00000"/>
        </w:rPr>
        <w:t>1.</w:t>
      </w:r>
      <w:r>
        <w:rPr>
          <w:rFonts w:hint="eastAsia"/>
          <w:color w:val="C00000"/>
          <w:lang w:eastAsia="zh-CN"/>
        </w:rPr>
        <w:t>6138</w:t>
      </w:r>
      <w:r>
        <w:rPr>
          <w:rFonts w:hint="eastAsia"/>
          <w:color w:val="C00000"/>
        </w:rPr>
        <w:t>亿元；</w:t>
      </w:r>
      <w:bookmarkStart w:id="0" w:name="_GoBack"/>
      <w:bookmarkEnd w:id="0"/>
    </w:p>
    <w:p>
      <w:pPr>
        <w:pStyle w:val="4"/>
        <w:ind w:left="720" w:firstLine="0" w:firstLineChars="0"/>
        <w:rPr>
          <w:rFonts w:hint="eastAsia"/>
        </w:rPr>
      </w:pPr>
      <w:r>
        <w:rPr>
          <w:rFonts w:hint="eastAsia"/>
        </w:rPr>
        <w:t>暂定地下车位地下室利润和成本平衡；实际商地下车库和地下室利润有；</w:t>
      </w:r>
    </w:p>
    <w:p>
      <w:pPr>
        <w:pStyle w:val="4"/>
        <w:ind w:left="72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合作方式：一级土地整理前期拆迁等前期投入占有股份，引进合作方负责摘地建设，按照股权比例分享收益。具体合作模式可商讨。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ngXian">
    <w:altName w:val="等线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pple Color Emoji">
    <w:panose1 w:val="00000000000000000000"/>
    <w:charset w:val="00"/>
    <w:family w:val="auto"/>
    <w:pitch w:val="default"/>
    <w:sig w:usb0="00000000" w:usb1="00000000" w:usb2="14000000" w:usb3="00000000" w:csb0="00000001" w:csb1="00000000"/>
  </w:font>
  <w:font w:name="等线 Light"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4350B"/>
    <w:multiLevelType w:val="multilevel"/>
    <w:tmpl w:val="0E24350B"/>
    <w:lvl w:ilvl="0" w:tentative="0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abstractNum w:abstractNumId="1">
    <w:nsid w:val="1FE264B2"/>
    <w:multiLevelType w:val="multilevel"/>
    <w:tmpl w:val="1FE264B2"/>
    <w:lvl w:ilvl="0" w:tentative="0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41E73A7"/>
    <w:multiLevelType w:val="multilevel"/>
    <w:tmpl w:val="441E73A7"/>
    <w:lvl w:ilvl="0" w:tentative="0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E7B68EA"/>
    <w:multiLevelType w:val="multilevel"/>
    <w:tmpl w:val="5E7B68EA"/>
    <w:lvl w:ilvl="0" w:tentative="0">
      <w:start w:val="1"/>
      <w:numFmt w:val="decimal"/>
      <w:lvlText w:val="（%1）"/>
      <w:lvlJc w:val="left"/>
      <w:pPr>
        <w:ind w:left="9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80" w:hanging="420"/>
      </w:pPr>
    </w:lvl>
    <w:lvl w:ilvl="2" w:tentative="0">
      <w:start w:val="1"/>
      <w:numFmt w:val="lowerRoman"/>
      <w:lvlText w:val="%3."/>
      <w:lvlJc w:val="right"/>
      <w:pPr>
        <w:ind w:left="1500" w:hanging="420"/>
      </w:pPr>
    </w:lvl>
    <w:lvl w:ilvl="3" w:tentative="0">
      <w:start w:val="1"/>
      <w:numFmt w:val="decimal"/>
      <w:lvlText w:val="%4."/>
      <w:lvlJc w:val="left"/>
      <w:pPr>
        <w:ind w:left="1920" w:hanging="420"/>
      </w:pPr>
    </w:lvl>
    <w:lvl w:ilvl="4" w:tentative="0">
      <w:start w:val="1"/>
      <w:numFmt w:val="lowerLetter"/>
      <w:lvlText w:val="%5)"/>
      <w:lvlJc w:val="left"/>
      <w:pPr>
        <w:ind w:left="2340" w:hanging="420"/>
      </w:pPr>
    </w:lvl>
    <w:lvl w:ilvl="5" w:tentative="0">
      <w:start w:val="1"/>
      <w:numFmt w:val="lowerRoman"/>
      <w:lvlText w:val="%6."/>
      <w:lvlJc w:val="right"/>
      <w:pPr>
        <w:ind w:left="2760" w:hanging="420"/>
      </w:pPr>
    </w:lvl>
    <w:lvl w:ilvl="6" w:tentative="0">
      <w:start w:val="1"/>
      <w:numFmt w:val="decimal"/>
      <w:lvlText w:val="%7."/>
      <w:lvlJc w:val="left"/>
      <w:pPr>
        <w:ind w:left="3180" w:hanging="420"/>
      </w:pPr>
    </w:lvl>
    <w:lvl w:ilvl="7" w:tentative="0">
      <w:start w:val="1"/>
      <w:numFmt w:val="lowerLetter"/>
      <w:lvlText w:val="%8)"/>
      <w:lvlJc w:val="left"/>
      <w:pPr>
        <w:ind w:left="3600" w:hanging="420"/>
      </w:pPr>
    </w:lvl>
    <w:lvl w:ilvl="8" w:tentative="0">
      <w:start w:val="1"/>
      <w:numFmt w:val="lowerRoman"/>
      <w:lvlText w:val="%9."/>
      <w:lvlJc w:val="right"/>
      <w:pPr>
        <w:ind w:left="4020" w:hanging="420"/>
      </w:pPr>
    </w:lvl>
  </w:abstractNum>
  <w:abstractNum w:abstractNumId="4">
    <w:nsid w:val="63F206C9"/>
    <w:multiLevelType w:val="multilevel"/>
    <w:tmpl w:val="63F206C9"/>
    <w:lvl w:ilvl="0" w:tentative="0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3DA3CF7"/>
    <w:multiLevelType w:val="multilevel"/>
    <w:tmpl w:val="73DA3CF7"/>
    <w:lvl w:ilvl="0" w:tentative="0">
      <w:start w:val="1"/>
      <w:numFmt w:val="decimal"/>
      <w:lvlText w:val="（%1）"/>
      <w:lvlJc w:val="left"/>
      <w:pPr>
        <w:ind w:left="144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2">
    <w:name w:val="Default Paragraph Font"/>
    <w:unhideWhenUsed/>
    <w:qFormat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207</Words>
  <Characters>1181</Characters>
  <Lines>9</Lines>
  <Paragraphs>2</Paragraphs>
  <ScaleCrop>false</ScaleCrop>
  <LinksUpToDate>false</LinksUpToDate>
  <CharactersWithSpaces>1386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2020-12-22T22:01:00Z</dcterms:created>
  <dc:creator>Microsoft Office User</dc:creator>
  <cp:lastModifiedBy>顾文</cp:lastModifiedBy>
  <dcterms:modified xsi:type="dcterms:W3CDTF">2021-09-09T09:24:56Z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8AB4B5957ED5C521445F3961835665AF</vt:lpwstr>
  </property>
  <property fmtid="{D5CDD505-2E9C-101B-9397-08002B2CF9AE}" pid="3" name="KSOProductBuildVer">
    <vt:lpwstr>2052-11.14.0</vt:lpwstr>
  </property>
</Properties>
</file>