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大标宋简体" w:hAnsi="方正大标宋简体" w:eastAsia="方正大标宋简体" w:cs="方正大标宋简体"/>
          <w:sz w:val="72"/>
          <w:szCs w:val="44"/>
        </w:rPr>
      </w:pPr>
    </w:p>
    <w:p>
      <w:pPr>
        <w:jc w:val="center"/>
        <w:rPr>
          <w:rFonts w:ascii="方正大标宋简体" w:hAnsi="方正大标宋简体" w:eastAsia="方正大标宋简体" w:cs="方正大标宋简体"/>
          <w:sz w:val="72"/>
          <w:szCs w:val="44"/>
        </w:rPr>
      </w:pPr>
    </w:p>
    <w:p>
      <w:pPr>
        <w:jc w:val="center"/>
        <w:rPr>
          <w:rFonts w:ascii="方正大标宋简体" w:hAnsi="方正大标宋简体" w:eastAsia="方正大标宋简体" w:cs="方正大标宋简体"/>
          <w:sz w:val="72"/>
          <w:szCs w:val="44"/>
        </w:rPr>
      </w:pPr>
      <w:r>
        <w:rPr>
          <w:rFonts w:hint="eastAsia" w:ascii="方正大标宋简体" w:hAnsi="方正大标宋简体" w:eastAsia="方正大标宋简体" w:cs="方正大标宋简体"/>
          <w:sz w:val="72"/>
          <w:szCs w:val="44"/>
          <w:lang w:val="en-US" w:eastAsia="zh-CN"/>
        </w:rPr>
        <w:t>弘天迎宾府</w:t>
      </w:r>
      <w:r>
        <w:rPr>
          <w:rFonts w:ascii="方正大标宋简体" w:hAnsi="方正大标宋简体" w:eastAsia="方正大标宋简体" w:cs="方正大标宋简体"/>
          <w:sz w:val="72"/>
          <w:szCs w:val="44"/>
        </w:rPr>
        <w:t>项目</w:t>
      </w:r>
    </w:p>
    <w:p>
      <w:pPr>
        <w:jc w:val="center"/>
        <w:rPr>
          <w:rFonts w:ascii="方正大标宋简体" w:hAnsi="方正大标宋简体" w:eastAsia="方正大标宋简体" w:cs="方正大标宋简体"/>
          <w:sz w:val="72"/>
          <w:szCs w:val="44"/>
        </w:rPr>
      </w:pPr>
      <w:r>
        <w:rPr>
          <w:rFonts w:hint="eastAsia" w:ascii="方正大标宋简体" w:hAnsi="方正大标宋简体" w:eastAsia="方正大标宋简体" w:cs="方正大标宋简体"/>
          <w:sz w:val="72"/>
          <w:szCs w:val="44"/>
        </w:rPr>
        <w:t>融资计划书</w:t>
      </w:r>
    </w:p>
    <w:p>
      <w:pPr>
        <w:ind w:firstLine="2640" w:firstLineChars="600"/>
        <w:rPr>
          <w:rFonts w:ascii="方正大标宋简体" w:hAnsi="方正大标宋简体" w:eastAsia="方正大标宋简体" w:cs="方正大标宋简体"/>
          <w:sz w:val="44"/>
          <w:szCs w:val="44"/>
        </w:rPr>
      </w:pPr>
    </w:p>
    <w:p>
      <w:pPr>
        <w:ind w:firstLine="2640" w:firstLineChars="600"/>
        <w:rPr>
          <w:rFonts w:ascii="方正大标宋简体" w:hAnsi="方正大标宋简体" w:eastAsia="方正大标宋简体" w:cs="方正大标宋简体"/>
          <w:sz w:val="44"/>
          <w:szCs w:val="44"/>
        </w:rPr>
      </w:pPr>
    </w:p>
    <w:p>
      <w:pPr>
        <w:ind w:firstLine="2640" w:firstLineChars="600"/>
        <w:rPr>
          <w:rFonts w:ascii="方正大标宋简体" w:hAnsi="方正大标宋简体" w:eastAsia="方正大标宋简体" w:cs="方正大标宋简体"/>
          <w:sz w:val="44"/>
          <w:szCs w:val="44"/>
        </w:rPr>
      </w:pPr>
    </w:p>
    <w:p>
      <w:pPr>
        <w:rPr>
          <w:rFonts w:ascii="方正大标宋简体" w:hAnsi="方正大标宋简体" w:eastAsia="方正大标宋简体" w:cs="方正大标宋简体"/>
          <w:sz w:val="44"/>
          <w:szCs w:val="44"/>
        </w:rPr>
      </w:pPr>
    </w:p>
    <w:p>
      <w:pPr>
        <w:ind w:firstLine="2640" w:firstLineChars="600"/>
        <w:rPr>
          <w:rFonts w:ascii="方正大标宋简体" w:hAnsi="方正大标宋简体" w:eastAsia="方正大标宋简体" w:cs="方正大标宋简体"/>
          <w:sz w:val="44"/>
          <w:szCs w:val="44"/>
        </w:rPr>
      </w:pPr>
    </w:p>
    <w:p>
      <w:pPr>
        <w:ind w:firstLine="2640" w:firstLineChars="600"/>
        <w:rPr>
          <w:rFonts w:ascii="方正大标宋简体" w:hAnsi="方正大标宋简体" w:eastAsia="方正大标宋简体" w:cs="方正大标宋简体"/>
          <w:sz w:val="44"/>
          <w:szCs w:val="44"/>
        </w:rPr>
      </w:pPr>
    </w:p>
    <w:p>
      <w:pPr>
        <w:spacing w:line="360" w:lineRule="auto"/>
        <w:jc w:val="center"/>
        <w:rPr>
          <w:rFonts w:ascii="方正大标宋简体" w:hAnsi="方正大标宋简体" w:eastAsia="方正大标宋简体" w:cs="方正大标宋简体"/>
          <w:sz w:val="40"/>
          <w:szCs w:val="44"/>
        </w:rPr>
      </w:pPr>
      <w:r>
        <w:rPr>
          <w:rFonts w:ascii="方正大标宋简体" w:hAnsi="方正大标宋简体" w:eastAsia="方正大标宋简体" w:cs="方正大标宋简体"/>
          <w:sz w:val="40"/>
          <w:szCs w:val="44"/>
        </w:rPr>
        <w:t>上蔡县弘天实业有限公司</w:t>
      </w:r>
    </w:p>
    <w:p>
      <w:pPr>
        <w:spacing w:line="360" w:lineRule="auto"/>
        <w:jc w:val="center"/>
        <w:rPr>
          <w:rFonts w:ascii="方正大标宋简体" w:hAnsi="方正大标宋简体" w:eastAsia="方正大标宋简体" w:cs="方正大标宋简体"/>
          <w:sz w:val="36"/>
          <w:szCs w:val="44"/>
        </w:rPr>
      </w:pPr>
    </w:p>
    <w:p>
      <w:pPr>
        <w:spacing w:line="360" w:lineRule="auto"/>
        <w:jc w:val="center"/>
        <w:rPr>
          <w:rFonts w:ascii="方正大标宋简体" w:hAnsi="方正大标宋简体" w:eastAsia="方正大标宋简体" w:cs="方正大标宋简体"/>
          <w:sz w:val="32"/>
          <w:szCs w:val="44"/>
        </w:rPr>
      </w:pPr>
      <w:r>
        <w:rPr>
          <w:rFonts w:ascii="方正大标宋简体" w:hAnsi="方正大标宋简体" w:eastAsia="方正大标宋简体" w:cs="方正大标宋简体"/>
          <w:sz w:val="32"/>
          <w:szCs w:val="44"/>
        </w:rPr>
        <w:t>202</w:t>
      </w:r>
      <w:r>
        <w:rPr>
          <w:rFonts w:hint="eastAsia" w:ascii="方正大标宋简体" w:hAnsi="方正大标宋简体" w:eastAsia="方正大标宋简体" w:cs="方正大标宋简体"/>
          <w:sz w:val="32"/>
          <w:szCs w:val="44"/>
          <w:lang w:val="en-US" w:eastAsia="zh-CN"/>
        </w:rPr>
        <w:t>1</w:t>
      </w:r>
      <w:r>
        <w:rPr>
          <w:rFonts w:ascii="方正大标宋简体" w:hAnsi="方正大标宋简体" w:eastAsia="方正大标宋简体" w:cs="方正大标宋简体"/>
          <w:sz w:val="32"/>
          <w:szCs w:val="44"/>
        </w:rPr>
        <w:t>年</w:t>
      </w:r>
      <w:r>
        <w:rPr>
          <w:rFonts w:hint="eastAsia" w:ascii="方正大标宋简体" w:hAnsi="方正大标宋简体" w:eastAsia="方正大标宋简体" w:cs="方正大标宋简体"/>
          <w:sz w:val="32"/>
          <w:szCs w:val="44"/>
          <w:lang w:val="en-US" w:eastAsia="zh-CN"/>
        </w:rPr>
        <w:t>5</w:t>
      </w:r>
      <w:r>
        <w:rPr>
          <w:rFonts w:ascii="方正大标宋简体" w:hAnsi="方正大标宋简体" w:eastAsia="方正大标宋简体" w:cs="方正大标宋简体"/>
          <w:sz w:val="32"/>
          <w:szCs w:val="44"/>
        </w:rPr>
        <w:t>月</w:t>
      </w:r>
    </w:p>
    <w:p>
      <w:pPr>
        <w:rPr>
          <w:rFonts w:ascii="方正大标宋简体" w:hAnsi="方正大标宋简体" w:eastAsia="方正大标宋简体" w:cs="方正大标宋简体"/>
          <w:sz w:val="44"/>
          <w:szCs w:val="44"/>
        </w:rPr>
      </w:pPr>
    </w:p>
    <w:p/>
    <w:p>
      <w:pPr>
        <w:jc w:val="center"/>
        <w:rPr>
          <w:rFonts w:asciiTheme="minorEastAsia" w:hAnsiTheme="minorEastAsia"/>
          <w:b/>
          <w:sz w:val="32"/>
          <w:szCs w:val="28"/>
        </w:rPr>
      </w:pPr>
      <w:r>
        <w:rPr>
          <w:rFonts w:hint="eastAsia" w:asciiTheme="minorEastAsia" w:hAnsiTheme="minorEastAsia"/>
          <w:b/>
          <w:sz w:val="32"/>
          <w:szCs w:val="28"/>
        </w:rPr>
        <w:t>目录</w:t>
      </w:r>
    </w:p>
    <w:p/>
    <w:p>
      <w:pPr>
        <w:spacing w:line="480" w:lineRule="auto"/>
      </w:pPr>
    </w:p>
    <w:p>
      <w:pPr>
        <w:pStyle w:val="11"/>
        <w:numPr>
          <w:ilvl w:val="0"/>
          <w:numId w:val="1"/>
        </w:numPr>
        <w:spacing w:line="480" w:lineRule="auto"/>
        <w:ind w:left="556" w:firstLineChars="0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企业简介</w:t>
      </w:r>
    </w:p>
    <w:p>
      <w:pPr>
        <w:pStyle w:val="11"/>
        <w:numPr>
          <w:ilvl w:val="0"/>
          <w:numId w:val="1"/>
        </w:numPr>
        <w:spacing w:line="480" w:lineRule="auto"/>
        <w:ind w:left="556" w:firstLineChars="0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项目情况</w:t>
      </w:r>
    </w:p>
    <w:p>
      <w:pPr>
        <w:pStyle w:val="11"/>
        <w:numPr>
          <w:ilvl w:val="0"/>
          <w:numId w:val="1"/>
        </w:numPr>
        <w:spacing w:line="480" w:lineRule="auto"/>
        <w:ind w:left="556" w:firstLineChars="0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资金用途</w:t>
      </w:r>
    </w:p>
    <w:p>
      <w:pPr>
        <w:pStyle w:val="11"/>
        <w:numPr>
          <w:ilvl w:val="0"/>
          <w:numId w:val="1"/>
        </w:numPr>
        <w:spacing w:line="480" w:lineRule="auto"/>
        <w:ind w:left="556" w:firstLineChars="0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还款来源 </w:t>
      </w:r>
    </w:p>
    <w:p>
      <w:pPr>
        <w:spacing w:line="480" w:lineRule="auto"/>
      </w:pPr>
    </w:p>
    <w:p>
      <w:pPr>
        <w:spacing w:line="480" w:lineRule="auto"/>
      </w:pPr>
    </w:p>
    <w:p>
      <w:pPr>
        <w:spacing w:line="480" w:lineRule="auto"/>
      </w:pPr>
    </w:p>
    <w:p>
      <w:pPr>
        <w:spacing w:line="480" w:lineRule="auto"/>
      </w:pP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pStyle w:val="11"/>
        <w:numPr>
          <w:ilvl w:val="0"/>
          <w:numId w:val="2"/>
        </w:numPr>
        <w:spacing w:line="480" w:lineRule="auto"/>
        <w:ind w:firstLineChars="0"/>
        <w:rPr>
          <w:b/>
          <w:sz w:val="32"/>
        </w:rPr>
      </w:pPr>
      <w:r>
        <w:rPr>
          <w:rFonts w:hint="eastAsia"/>
          <w:b/>
          <w:sz w:val="32"/>
        </w:rPr>
        <w:t>企业简介</w:t>
      </w:r>
    </w:p>
    <w:p>
      <w:pPr>
        <w:pStyle w:val="11"/>
        <w:numPr>
          <w:ilvl w:val="0"/>
          <w:numId w:val="3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公司</w:t>
      </w:r>
      <w:r>
        <w:rPr>
          <w:rFonts w:asciiTheme="minorEastAsia" w:hAnsiTheme="minorEastAsia"/>
          <w:b/>
          <w:sz w:val="28"/>
          <w:szCs w:val="28"/>
        </w:rPr>
        <w:t>注册</w:t>
      </w:r>
      <w:r>
        <w:rPr>
          <w:rFonts w:hint="eastAsia" w:asciiTheme="minorEastAsia" w:hAnsiTheme="minorEastAsia"/>
          <w:sz w:val="28"/>
          <w:szCs w:val="28"/>
        </w:rPr>
        <w:t>：法定地址：河南省驻马店市上蔡县蔡明路南段东侧101铺，法定代表人：</w:t>
      </w:r>
      <w:r>
        <w:rPr>
          <w:rFonts w:hint="eastAsia" w:asciiTheme="minorEastAsia" w:hAnsi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/>
          <w:sz w:val="28"/>
          <w:szCs w:val="28"/>
        </w:rPr>
        <w:instrText xml:space="preserve"> HYPERLINK "https://www.tianyancha.com/human/1934358848-c3313225968" \o "张鹏" \t "https://www.tianyancha.com/company/_blank" </w:instrText>
      </w:r>
      <w:r>
        <w:rPr>
          <w:rFonts w:hint="eastAsia" w:asciiTheme="minorEastAsia" w:hAnsi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/>
          <w:sz w:val="28"/>
          <w:szCs w:val="28"/>
        </w:rPr>
        <w:t>张鹏</w:t>
      </w:r>
      <w:r>
        <w:rPr>
          <w:rFonts w:hint="eastAsia" w:asciiTheme="minorEastAsia" w:hAnsiTheme="minorEastAsia"/>
          <w:sz w:val="28"/>
          <w:szCs w:val="28"/>
        </w:rPr>
        <w:fldChar w:fldCharType="end"/>
      </w:r>
      <w:r>
        <w:rPr>
          <w:rFonts w:hint="eastAsia" w:asciiTheme="minorEastAsia" w:hAnsiTheme="minorEastAsia"/>
          <w:sz w:val="28"/>
          <w:szCs w:val="28"/>
        </w:rPr>
        <w:t>。注册资本：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1500</w:t>
      </w:r>
      <w:r>
        <w:rPr>
          <w:rFonts w:hint="eastAsia" w:asciiTheme="minorEastAsia" w:hAnsiTheme="minorEastAsia"/>
          <w:sz w:val="28"/>
          <w:szCs w:val="28"/>
        </w:rPr>
        <w:t>万元。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ab/>
      </w:r>
    </w:p>
    <w:p>
      <w:pPr>
        <w:pStyle w:val="11"/>
        <w:numPr>
          <w:ilvl w:val="0"/>
          <w:numId w:val="3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公司专业经营：</w:t>
      </w:r>
      <w:r>
        <w:rPr>
          <w:rFonts w:hint="eastAsia" w:asciiTheme="minorEastAsia" w:hAnsiTheme="minorEastAsia"/>
          <w:b w:val="0"/>
          <w:bCs/>
          <w:sz w:val="28"/>
          <w:szCs w:val="28"/>
        </w:rPr>
        <w:t>房地产开发与经营；室内外装饰装修工程的设计与施工；农产品种植及销售；建材（砂石场除外）、五金交电、日用百货的销售；物业管理；</w:t>
      </w:r>
    </w:p>
    <w:p>
      <w:pPr>
        <w:pStyle w:val="11"/>
        <w:numPr>
          <w:ilvl w:val="0"/>
          <w:numId w:val="3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公司宗旨与战略：</w:t>
      </w:r>
      <w:r>
        <w:rPr>
          <w:rFonts w:hint="eastAsia" w:asciiTheme="minorEastAsia" w:hAnsiTheme="minorEastAsia"/>
          <w:sz w:val="28"/>
          <w:szCs w:val="28"/>
        </w:rPr>
        <w:t>公司以“运营城市、造福社会”为价值观，以“为您，我不懈努力”为服务理念，秉承“同心协力、务实求精”的企业精神，为客户提供公开、公平、公正、热情、周到、便捷的服务，公司始终以重视人才的培育及发展为主，并提供专业、规范的为客户服务。</w:t>
      </w:r>
    </w:p>
    <w:p>
      <w:pPr>
        <w:pStyle w:val="11"/>
        <w:numPr>
          <w:ilvl w:val="0"/>
          <w:numId w:val="3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公司定位及优势</w:t>
      </w:r>
      <w:r>
        <w:rPr>
          <w:rFonts w:hint="eastAsia" w:asciiTheme="minorEastAsia" w:hAnsiTheme="minorEastAsia"/>
          <w:sz w:val="28"/>
          <w:szCs w:val="28"/>
        </w:rPr>
        <w:t>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弘天实业</w:t>
      </w:r>
      <w:r>
        <w:rPr>
          <w:rFonts w:hint="eastAsia" w:asciiTheme="minorEastAsia" w:hAnsiTheme="minorEastAsia"/>
          <w:sz w:val="28"/>
          <w:szCs w:val="28"/>
        </w:rPr>
        <w:t>现定位为房地产开发有限</w:t>
      </w:r>
      <w:r>
        <w:rPr>
          <w:rFonts w:asciiTheme="minorEastAsia" w:hAnsiTheme="minorEastAsia"/>
          <w:sz w:val="28"/>
          <w:szCs w:val="28"/>
        </w:rPr>
        <w:t>公司</w:t>
      </w:r>
      <w:r>
        <w:rPr>
          <w:rFonts w:hint="eastAsia" w:asciiTheme="minorEastAsia" w:hAnsiTheme="minorEastAsia"/>
          <w:sz w:val="28"/>
          <w:szCs w:val="28"/>
        </w:rPr>
        <w:t>，公司是一家区域性房地产开发公司，拥有区域性优势，本地政策扶植等优点。 </w:t>
      </w:r>
    </w:p>
    <w:p>
      <w:pPr>
        <w:pStyle w:val="11"/>
        <w:numPr>
          <w:ilvl w:val="0"/>
          <w:numId w:val="3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弘天实业</w:t>
      </w:r>
      <w:r>
        <w:rPr>
          <w:rFonts w:hint="eastAsia" w:asciiTheme="minorEastAsia" w:hAnsiTheme="minorEastAsia"/>
          <w:b/>
          <w:sz w:val="28"/>
          <w:szCs w:val="28"/>
        </w:rPr>
        <w:t>公司拥有品牌价值</w:t>
      </w:r>
      <w:r>
        <w:rPr>
          <w:rFonts w:hint="eastAsia" w:asciiTheme="minorEastAsia" w:hAnsiTheme="minorEastAsia"/>
          <w:sz w:val="28"/>
          <w:szCs w:val="28"/>
        </w:rPr>
        <w:t>：自成立以来，致力于房地产开发和旧城改造工作。在本地城市扩大基础建设、拆迁安置、房地产销售积累的大量客户群，建立了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弘天实业</w:t>
      </w:r>
      <w:r>
        <w:rPr>
          <w:rFonts w:hint="eastAsia" w:asciiTheme="minorEastAsia" w:hAnsiTheme="minorEastAsia"/>
          <w:sz w:val="28"/>
          <w:szCs w:val="28"/>
        </w:rPr>
        <w:t>公司良好口碑，这必将为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弘天实业</w:t>
      </w:r>
      <w:r>
        <w:rPr>
          <w:rFonts w:hint="eastAsia" w:asciiTheme="minorEastAsia" w:hAnsiTheme="minorEastAsia"/>
          <w:sz w:val="28"/>
          <w:szCs w:val="28"/>
        </w:rPr>
        <w:t>带来丰富的经济效益和社会效益。</w:t>
      </w:r>
    </w:p>
    <w:p>
      <w:pPr>
        <w:pStyle w:val="11"/>
        <w:spacing w:line="480" w:lineRule="auto"/>
        <w:ind w:firstLine="0" w:firstLineChars="0"/>
        <w:rPr>
          <w:b/>
          <w:sz w:val="32"/>
        </w:rPr>
      </w:pPr>
    </w:p>
    <w:p>
      <w:pPr>
        <w:pStyle w:val="11"/>
        <w:spacing w:line="480" w:lineRule="auto"/>
        <w:ind w:firstLine="0" w:firstLineChars="0"/>
        <w:rPr>
          <w:b/>
          <w:sz w:val="32"/>
        </w:rPr>
      </w:pPr>
    </w:p>
    <w:p>
      <w:pPr>
        <w:pStyle w:val="11"/>
        <w:spacing w:line="480" w:lineRule="auto"/>
        <w:ind w:firstLineChars="0"/>
        <w:rPr>
          <w:b/>
          <w:sz w:val="32"/>
        </w:rPr>
      </w:pPr>
    </w:p>
    <w:p>
      <w:pPr>
        <w:pStyle w:val="11"/>
        <w:spacing w:line="480" w:lineRule="auto"/>
        <w:ind w:firstLineChars="0"/>
        <w:rPr>
          <w:b/>
          <w:sz w:val="32"/>
        </w:rPr>
      </w:pPr>
    </w:p>
    <w:p>
      <w:pPr>
        <w:pStyle w:val="11"/>
        <w:spacing w:line="480" w:lineRule="auto"/>
        <w:ind w:left="0" w:leftChars="0" w:firstLine="0" w:firstLineChars="0"/>
        <w:rPr>
          <w:b/>
          <w:sz w:val="32"/>
        </w:rPr>
      </w:pPr>
    </w:p>
    <w:p>
      <w:pPr>
        <w:pStyle w:val="11"/>
        <w:numPr>
          <w:ilvl w:val="0"/>
          <w:numId w:val="2"/>
        </w:numPr>
        <w:spacing w:line="480" w:lineRule="auto"/>
        <w:ind w:firstLineChars="0"/>
        <w:rPr>
          <w:b/>
          <w:sz w:val="32"/>
        </w:rPr>
      </w:pPr>
      <w:r>
        <w:rPr>
          <w:rFonts w:hint="eastAsia"/>
          <w:b/>
          <w:sz w:val="32"/>
        </w:rPr>
        <w:t>项目情况</w:t>
      </w:r>
    </w:p>
    <w:p>
      <w:pPr>
        <w:pStyle w:val="15"/>
        <w:numPr>
          <w:ilvl w:val="0"/>
          <w:numId w:val="4"/>
        </w:numPr>
        <w:spacing w:line="480" w:lineRule="auto"/>
        <w:ind w:firstLineChars="0"/>
        <w:rPr>
          <w:b/>
          <w:sz w:val="28"/>
        </w:rPr>
      </w:pPr>
      <w:r>
        <w:rPr>
          <w:rFonts w:hint="eastAsia"/>
          <w:b/>
          <w:sz w:val="28"/>
        </w:rPr>
        <w:t>项目区位</w:t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项目位于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驻马店市上蔡县东部</w:t>
      </w:r>
      <w:r>
        <w:rPr>
          <w:rFonts w:hint="eastAsia" w:asciiTheme="minorEastAsia" w:hAnsiTheme="minorEastAsia"/>
          <w:sz w:val="28"/>
          <w:szCs w:val="28"/>
        </w:rPr>
        <w:t>，位置优越，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周边教育资源丰富。</w:t>
      </w:r>
    </w:p>
    <w:p>
      <w:pPr>
        <w:jc w:val="center"/>
        <w:rPr>
          <w:rFonts w:ascii="方正大标宋简体" w:hAnsi="方正大标宋简体" w:eastAsia="方正大标宋简体" w:cs="方正大标宋简体"/>
          <w:b/>
          <w:bCs/>
          <w:sz w:val="52"/>
          <w:szCs w:val="36"/>
        </w:rPr>
      </w:pPr>
      <w:r>
        <w:drawing>
          <wp:inline distT="0" distB="0" distL="114300" distR="114300">
            <wp:extent cx="5273040" cy="3352800"/>
            <wp:effectExtent l="0" t="0" r="381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大标宋简体" w:hAnsi="方正大标宋简体" w:eastAsia="方正大标宋简体" w:cs="方正大标宋简体"/>
          <w:sz w:val="52"/>
          <w:szCs w:val="36"/>
        </w:rPr>
      </w:pPr>
    </w:p>
    <w:p>
      <w:pPr>
        <w:jc w:val="center"/>
        <w:rPr>
          <w:rFonts w:ascii="方正大标宋简体" w:hAnsi="方正大标宋简体" w:eastAsia="方正大标宋简体" w:cs="方正大标宋简体"/>
          <w:sz w:val="52"/>
          <w:szCs w:val="36"/>
        </w:rPr>
      </w:pPr>
    </w:p>
    <w:p>
      <w:pPr>
        <w:jc w:val="center"/>
        <w:rPr>
          <w:rFonts w:ascii="方正大标宋简体" w:hAnsi="方正大标宋简体" w:eastAsia="方正大标宋简体" w:cs="方正大标宋简体"/>
          <w:sz w:val="52"/>
          <w:szCs w:val="36"/>
        </w:rPr>
      </w:pPr>
    </w:p>
    <w:p>
      <w:pPr>
        <w:jc w:val="center"/>
        <w:rPr>
          <w:rFonts w:ascii="方正大标宋简体" w:hAnsi="方正大标宋简体" w:eastAsia="方正大标宋简体" w:cs="方正大标宋简体"/>
          <w:sz w:val="52"/>
          <w:szCs w:val="36"/>
        </w:rPr>
      </w:pPr>
    </w:p>
    <w:p>
      <w:pPr>
        <w:jc w:val="center"/>
        <w:rPr>
          <w:rFonts w:ascii="方正大标宋简体" w:hAnsi="方正大标宋简体" w:eastAsia="方正大标宋简体" w:cs="方正大标宋简体"/>
          <w:sz w:val="52"/>
          <w:szCs w:val="36"/>
        </w:rPr>
      </w:pPr>
    </w:p>
    <w:p>
      <w:pPr>
        <w:jc w:val="center"/>
        <w:rPr>
          <w:rFonts w:ascii="方正大标宋简体" w:hAnsi="方正大标宋简体" w:eastAsia="方正大标宋简体" w:cs="方正大标宋简体"/>
          <w:sz w:val="52"/>
          <w:szCs w:val="36"/>
        </w:rPr>
      </w:pPr>
    </w:p>
    <w:p>
      <w:pPr>
        <w:jc w:val="center"/>
        <w:rPr>
          <w:rFonts w:ascii="方正大标宋简体" w:hAnsi="方正大标宋简体" w:eastAsia="方正大标宋简体" w:cs="方正大标宋简体"/>
          <w:sz w:val="52"/>
          <w:szCs w:val="36"/>
        </w:rPr>
      </w:pPr>
    </w:p>
    <w:p>
      <w:pPr>
        <w:pStyle w:val="15"/>
        <w:numPr>
          <w:ilvl w:val="0"/>
          <w:numId w:val="4"/>
        </w:numPr>
        <w:spacing w:line="480" w:lineRule="auto"/>
        <w:ind w:firstLineChars="0"/>
        <w:rPr>
          <w:b/>
          <w:sz w:val="28"/>
        </w:rPr>
      </w:pPr>
      <w:r>
        <w:rPr>
          <w:rFonts w:hint="eastAsia"/>
          <w:b/>
          <w:sz w:val="28"/>
        </w:rPr>
        <w:t>项目</w:t>
      </w:r>
      <w:r>
        <w:rPr>
          <w:rFonts w:hint="eastAsia"/>
          <w:b/>
          <w:sz w:val="28"/>
          <w:lang w:val="en-US" w:eastAsia="zh-CN"/>
        </w:rPr>
        <w:t>宗地图</w:t>
      </w:r>
    </w:p>
    <w:p>
      <w:pPr>
        <w:jc w:val="both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5240655" cy="3508375"/>
            <wp:effectExtent l="0" t="0" r="17145" b="1587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spacing w:line="480" w:lineRule="auto"/>
        <w:ind w:firstLineChars="0"/>
        <w:rPr>
          <w:b/>
          <w:sz w:val="28"/>
        </w:rPr>
      </w:pPr>
      <w:r>
        <w:rPr>
          <w:b/>
          <w:sz w:val="28"/>
        </w:rPr>
        <w:t>项目</w:t>
      </w:r>
      <w:r>
        <w:rPr>
          <w:rFonts w:hint="eastAsia"/>
          <w:b/>
          <w:sz w:val="28"/>
        </w:rPr>
        <w:t>位置</w:t>
      </w:r>
    </w:p>
    <w:p>
      <w:pPr>
        <w:ind w:firstLine="700" w:firstLineChars="25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项目位于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上蔡县银杏路以南，重阳大道以北，五龙源大道以东，西侧为规划公立小学及33亩市政游园。</w:t>
      </w:r>
      <w:r>
        <w:rPr>
          <w:rFonts w:hint="eastAsia" w:asciiTheme="minorEastAsia" w:hAnsiTheme="minorEastAsia"/>
          <w:sz w:val="28"/>
          <w:szCs w:val="28"/>
        </w:rPr>
        <w:t>。</w:t>
      </w:r>
    </w:p>
    <w:p>
      <w:pPr>
        <w:pStyle w:val="15"/>
        <w:numPr>
          <w:ilvl w:val="0"/>
          <w:numId w:val="4"/>
        </w:numPr>
        <w:spacing w:line="480" w:lineRule="auto"/>
        <w:ind w:firstLineChars="0"/>
        <w:rPr>
          <w:b/>
          <w:sz w:val="28"/>
        </w:rPr>
      </w:pPr>
      <w:r>
        <w:rPr>
          <w:rFonts w:hint="eastAsia"/>
          <w:b/>
          <w:sz w:val="28"/>
        </w:rPr>
        <w:t>项目简介</w:t>
      </w:r>
    </w:p>
    <w:p>
      <w:pPr>
        <w:ind w:firstLine="700" w:firstLineChars="2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关于董寨居委会留地安置用地，已经上蔡县政府批复（上政文【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2020</w:t>
      </w:r>
      <w:r>
        <w:rPr>
          <w:rFonts w:hint="eastAsia" w:asciiTheme="minorEastAsia" w:hAnsiTheme="minorEastAsia"/>
          <w:sz w:val="28"/>
          <w:szCs w:val="28"/>
          <w:lang w:eastAsia="zh-CN"/>
        </w:rPr>
        <w:t>】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30号</w:t>
      </w:r>
      <w:r>
        <w:rPr>
          <w:rFonts w:hint="eastAsia" w:asciiTheme="minorEastAsia" w:hAnsiTheme="minorEastAsia"/>
          <w:sz w:val="28"/>
          <w:szCs w:val="28"/>
          <w:lang w:eastAsia="zh-CN"/>
        </w:rPr>
        <w:t>），选址已经上蔡县委城乡规划委员会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2020第六次会议审议通过，该项目位置安排在五龙源路西侧、杜诗五路南侧，已按董寨居民委员会四议两公开程序，同意与上蔡县弘天实业有限公司合作开发，以予公告，并与该公司签订了合作开发协议，已报批上蔡县人民政府发改委立项备案。</w:t>
      </w:r>
    </w:p>
    <w:p>
      <w:pPr>
        <w:ind w:firstLine="700" w:firstLineChars="2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该项目为留地安置项目，可享受政府返还土地出让金70%的政策。项目约95亩，一期62亩，二期33亩，容积率为≤2.8，商业配比10%，项目可计算容积率面积为177156㎡，其中住宅面积为159441㎡，商业17715㎡。</w:t>
      </w:r>
    </w:p>
    <w:p>
      <w:pPr>
        <w:pStyle w:val="15"/>
        <w:numPr>
          <w:ilvl w:val="0"/>
          <w:numId w:val="4"/>
        </w:numPr>
        <w:spacing w:line="480" w:lineRule="auto"/>
        <w:ind w:firstLineChars="0"/>
        <w:rPr>
          <w:b/>
          <w:sz w:val="28"/>
        </w:rPr>
      </w:pPr>
      <w:r>
        <w:rPr>
          <w:rFonts w:hint="eastAsia"/>
          <w:b/>
          <w:sz w:val="28"/>
        </w:rPr>
        <w:t>楼盘详情</w:t>
      </w:r>
    </w:p>
    <w:p>
      <w:pPr>
        <w:pStyle w:val="15"/>
        <w:numPr>
          <w:ilvl w:val="0"/>
          <w:numId w:val="0"/>
        </w:numPr>
        <w:spacing w:line="480" w:lineRule="auto"/>
        <w:ind w:leftChars="0"/>
        <w:rPr>
          <w:rFonts w:hint="eastAsia"/>
          <w:b w:val="0"/>
          <w:bCs/>
          <w:sz w:val="28"/>
          <w:lang w:val="en-US" w:eastAsia="zh-CN"/>
        </w:rPr>
      </w:pPr>
      <w:r>
        <w:rPr>
          <w:rFonts w:hint="eastAsia"/>
          <w:b/>
          <w:sz w:val="28"/>
          <w:lang w:val="en-US" w:eastAsia="zh-CN"/>
        </w:rPr>
        <w:t xml:space="preserve">   </w:t>
      </w:r>
      <w:r>
        <w:rPr>
          <w:rFonts w:hint="eastAsia"/>
          <w:b w:val="0"/>
          <w:bCs/>
          <w:sz w:val="28"/>
          <w:lang w:val="en-US" w:eastAsia="zh-CN"/>
        </w:rPr>
        <w:t xml:space="preserve">  一期占地41292㎡（62亩 ）</w:t>
      </w:r>
    </w:p>
    <w:p>
      <w:pPr>
        <w:pStyle w:val="15"/>
        <w:numPr>
          <w:ilvl w:val="0"/>
          <w:numId w:val="0"/>
        </w:numPr>
        <w:spacing w:line="480" w:lineRule="auto"/>
        <w:ind w:leftChars="0" w:firstLine="560"/>
        <w:rPr>
          <w:rFonts w:hint="eastAsia"/>
          <w:b w:val="0"/>
          <w:bCs/>
          <w:sz w:val="28"/>
          <w:lang w:val="en-US" w:eastAsia="zh-CN"/>
        </w:rPr>
      </w:pPr>
      <w:r>
        <w:rPr>
          <w:rFonts w:hint="eastAsia"/>
          <w:b w:val="0"/>
          <w:bCs/>
          <w:sz w:val="28"/>
          <w:lang w:val="en-US" w:eastAsia="zh-CN"/>
        </w:rPr>
        <w:t>容积率：2.8   绿地率：30.15% 建筑密度：≤28%</w:t>
      </w:r>
    </w:p>
    <w:p>
      <w:pPr>
        <w:pStyle w:val="15"/>
        <w:numPr>
          <w:ilvl w:val="0"/>
          <w:numId w:val="0"/>
        </w:numPr>
        <w:spacing w:line="480" w:lineRule="auto"/>
        <w:ind w:leftChars="0" w:firstLine="560"/>
        <w:rPr>
          <w:rFonts w:hint="eastAsia"/>
          <w:b w:val="0"/>
          <w:bCs/>
          <w:sz w:val="28"/>
          <w:lang w:val="en-US" w:eastAsia="zh-CN"/>
        </w:rPr>
      </w:pPr>
      <w:r>
        <w:rPr>
          <w:rFonts w:hint="eastAsia"/>
          <w:b w:val="0"/>
          <w:bCs/>
          <w:sz w:val="28"/>
          <w:lang w:val="en-US" w:eastAsia="zh-CN"/>
        </w:rPr>
        <w:t>总建筑面积：133230㎡（其中地上建筑面积103230㎡，地下建筑面30000㎡）</w:t>
      </w:r>
    </w:p>
    <w:p>
      <w:pPr>
        <w:pStyle w:val="15"/>
        <w:numPr>
          <w:ilvl w:val="0"/>
          <w:numId w:val="0"/>
        </w:numPr>
        <w:spacing w:line="480" w:lineRule="auto"/>
        <w:ind w:leftChars="0" w:firstLine="560"/>
        <w:rPr>
          <w:rFonts w:hint="eastAsia"/>
          <w:b w:val="0"/>
          <w:bCs/>
          <w:sz w:val="28"/>
          <w:lang w:val="en-US" w:eastAsia="zh-CN"/>
        </w:rPr>
      </w:pPr>
      <w:r>
        <w:rPr>
          <w:rFonts w:hint="eastAsia"/>
          <w:b w:val="0"/>
          <w:bCs/>
          <w:sz w:val="28"/>
          <w:lang w:val="en-US" w:eastAsia="zh-CN"/>
        </w:rPr>
        <w:t>安置面积：25000㎡</w:t>
      </w:r>
    </w:p>
    <w:p>
      <w:pPr>
        <w:pStyle w:val="15"/>
        <w:numPr>
          <w:ilvl w:val="0"/>
          <w:numId w:val="0"/>
        </w:numPr>
        <w:spacing w:line="480" w:lineRule="auto"/>
        <w:ind w:leftChars="0" w:firstLine="560"/>
        <w:rPr>
          <w:rFonts w:hint="eastAsia"/>
          <w:b w:val="0"/>
          <w:bCs/>
          <w:sz w:val="28"/>
          <w:lang w:val="en-US" w:eastAsia="zh-CN"/>
        </w:rPr>
      </w:pPr>
    </w:p>
    <w:p>
      <w:pPr>
        <w:pStyle w:val="15"/>
        <w:numPr>
          <w:ilvl w:val="0"/>
          <w:numId w:val="0"/>
        </w:numPr>
        <w:spacing w:line="480" w:lineRule="auto"/>
        <w:ind w:leftChars="0" w:firstLine="560"/>
        <w:rPr>
          <w:rFonts w:hint="eastAsia"/>
          <w:b w:val="0"/>
          <w:bCs/>
          <w:sz w:val="28"/>
          <w:lang w:val="en-US" w:eastAsia="zh-CN"/>
        </w:rPr>
      </w:pPr>
      <w:r>
        <w:rPr>
          <w:rFonts w:hint="eastAsia"/>
          <w:b w:val="0"/>
          <w:bCs/>
          <w:sz w:val="28"/>
          <w:lang w:val="en-US" w:eastAsia="zh-CN"/>
        </w:rPr>
        <w:t>二期占地22000㎡（33亩）</w:t>
      </w:r>
    </w:p>
    <w:p>
      <w:pPr>
        <w:pStyle w:val="15"/>
        <w:numPr>
          <w:ilvl w:val="0"/>
          <w:numId w:val="0"/>
        </w:numPr>
        <w:spacing w:line="480" w:lineRule="auto"/>
        <w:ind w:leftChars="0" w:firstLine="560"/>
        <w:rPr>
          <w:rFonts w:hint="eastAsia"/>
          <w:b w:val="0"/>
          <w:bCs/>
          <w:sz w:val="28"/>
          <w:lang w:val="en-US" w:eastAsia="zh-CN"/>
        </w:rPr>
      </w:pPr>
      <w:r>
        <w:rPr>
          <w:rFonts w:hint="eastAsia"/>
          <w:b w:val="0"/>
          <w:bCs/>
          <w:sz w:val="28"/>
          <w:lang w:val="en-US" w:eastAsia="zh-CN"/>
        </w:rPr>
        <w:t>容积率：2.8   绿地率：30.15% 建筑密度：≤28%</w:t>
      </w:r>
    </w:p>
    <w:p>
      <w:pPr>
        <w:pStyle w:val="15"/>
        <w:numPr>
          <w:ilvl w:val="0"/>
          <w:numId w:val="0"/>
        </w:numPr>
        <w:spacing w:line="480" w:lineRule="auto"/>
        <w:ind w:leftChars="0" w:firstLine="560"/>
        <w:rPr>
          <w:rFonts w:hint="default"/>
          <w:b w:val="0"/>
          <w:bCs/>
          <w:sz w:val="28"/>
          <w:lang w:val="en-US" w:eastAsia="zh-CN"/>
        </w:rPr>
      </w:pPr>
      <w:r>
        <w:rPr>
          <w:rFonts w:hint="eastAsia"/>
          <w:b w:val="0"/>
          <w:bCs/>
          <w:sz w:val="28"/>
          <w:lang w:val="en-US" w:eastAsia="zh-CN"/>
        </w:rPr>
        <w:t>总建筑面积约：75000㎡（其中地上建筑面积约60000㎡，地下建筑面约15000㎡）</w:t>
      </w:r>
    </w:p>
    <w:p>
      <w:pPr>
        <w:pStyle w:val="15"/>
        <w:numPr>
          <w:ilvl w:val="0"/>
          <w:numId w:val="4"/>
        </w:numPr>
        <w:spacing w:line="480" w:lineRule="auto"/>
        <w:ind w:firstLineChars="0"/>
        <w:rPr>
          <w:b/>
          <w:sz w:val="28"/>
        </w:rPr>
      </w:pPr>
      <w:r>
        <w:rPr>
          <w:rFonts w:hint="eastAsia"/>
          <w:b/>
          <w:sz w:val="28"/>
        </w:rPr>
        <w:t>配套</w:t>
      </w:r>
      <w:r>
        <w:rPr>
          <w:b/>
          <w:sz w:val="28"/>
        </w:rPr>
        <w:t>信息</w:t>
      </w:r>
    </w:p>
    <w:p>
      <w:pPr>
        <w:ind w:firstLine="700" w:firstLineChars="25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周边商业：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距离核心商圈2.7公里，项目自身配建10%商业。</w:t>
      </w:r>
    </w:p>
    <w:p>
      <w:pPr>
        <w:ind w:firstLine="700" w:firstLineChars="250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周边医院：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恒春医院（一路之隔）</w:t>
      </w:r>
    </w:p>
    <w:p>
      <w:pPr>
        <w:ind w:firstLine="700" w:firstLineChars="2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公园: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项目东侧33亩市政小游园、湿地公园、东城人工湖</w:t>
      </w:r>
    </w:p>
    <w:p>
      <w:pPr>
        <w:ind w:firstLine="700" w:firstLineChars="25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学校：上蔡县县直机关幼儿园(分校)、项目东侧公立小学、思源中学、上蔡县第二高级中学（分校）</w:t>
      </w:r>
    </w:p>
    <w:p>
      <w:pPr>
        <w:pStyle w:val="15"/>
        <w:numPr>
          <w:ilvl w:val="0"/>
          <w:numId w:val="4"/>
        </w:numPr>
        <w:spacing w:line="480" w:lineRule="auto"/>
        <w:ind w:firstLineChars="0"/>
        <w:rPr>
          <w:b/>
          <w:sz w:val="28"/>
        </w:rPr>
      </w:pPr>
      <w:r>
        <w:rPr>
          <w:rFonts w:hint="eastAsia"/>
          <w:b/>
          <w:sz w:val="28"/>
        </w:rPr>
        <w:t>环境分析： </w:t>
      </w:r>
    </w:p>
    <w:p>
      <w:pPr>
        <w:ind w:firstLine="700" w:firstLineChars="2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上蔡县约有160万人，人口基数较大，项目位置优越、市场活跃购买力强，项目地块基础配套设施齐全，集教育与医疗中心。北邻上蔡县第二高级中学，东邻上蔡县芦岗中心小学，南邻上蔡县湿地公园及上蔡县第一幼儿园，西邻恒春医院及思源初级中学及教师职工安置小区，该地段房产项目活跃预计五年之内入住人口达到约为6万人，商业价值较大，市场前景可观，住宅销售均价为4950-5600元/㎡，商业销售价格为8500元--12500元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</w:p>
    <w:p>
      <w:pPr>
        <w:pStyle w:val="15"/>
        <w:numPr>
          <w:ilvl w:val="0"/>
          <w:numId w:val="4"/>
        </w:numPr>
        <w:spacing w:line="480" w:lineRule="auto"/>
        <w:ind w:firstLineChars="0"/>
        <w:rPr>
          <w:b/>
          <w:sz w:val="28"/>
        </w:rPr>
      </w:pPr>
      <w:r>
        <w:rPr>
          <w:rFonts w:hint="eastAsia"/>
          <w:b/>
          <w:sz w:val="28"/>
        </w:rPr>
        <w:t>相关文件</w:t>
      </w:r>
    </w:p>
    <w:p>
      <w:pPr>
        <w:pStyle w:val="15"/>
        <w:spacing w:line="480" w:lineRule="auto"/>
        <w:ind w:left="0" w:leftChars="0" w:firstLine="0" w:firstLineChars="0"/>
        <w:rPr>
          <w:rFonts w:hint="eastAsia" w:eastAsiaTheme="minorEastAsia"/>
          <w:b/>
          <w:sz w:val="28"/>
          <w:lang w:eastAsia="zh-CN"/>
        </w:rPr>
      </w:pPr>
    </w:p>
    <w:p>
      <w:pPr>
        <w:pStyle w:val="15"/>
        <w:spacing w:line="480" w:lineRule="auto"/>
        <w:ind w:left="720" w:firstLine="0" w:firstLineChars="0"/>
        <w:rPr>
          <w:b/>
          <w:sz w:val="28"/>
        </w:rPr>
      </w:pP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Theme="minorEastAsia" w:hAnsiTheme="minorEastAsia"/>
          <w:sz w:val="28"/>
          <w:szCs w:val="28"/>
        </w:rPr>
      </w:pPr>
      <w:bookmarkStart w:id="0" w:name="_GoBack"/>
      <w:bookmarkEnd w:id="0"/>
    </w:p>
    <w:p>
      <w:pPr>
        <w:rPr>
          <w:b/>
          <w:sz w:val="32"/>
        </w:rPr>
      </w:pPr>
    </w:p>
    <w:p>
      <w:pPr>
        <w:rPr>
          <w:rFonts w:hint="default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略</w:t>
      </w:r>
    </w:p>
    <w:p>
      <w:pPr>
        <w:rPr>
          <w:rFonts w:hint="eastAsia"/>
          <w:b/>
          <w:sz w:val="32"/>
          <w:lang w:eastAsia="zh-CN"/>
        </w:rPr>
      </w:pPr>
    </w:p>
    <w:p>
      <w:pPr>
        <w:rPr>
          <w:rFonts w:hint="eastAsia"/>
          <w:b/>
          <w:sz w:val="32"/>
          <w:lang w:eastAsia="zh-CN"/>
        </w:rPr>
      </w:pPr>
    </w:p>
    <w:p>
      <w:pPr>
        <w:rPr>
          <w:rFonts w:hint="eastAsia"/>
          <w:b/>
          <w:sz w:val="32"/>
          <w:lang w:eastAsia="zh-CN"/>
        </w:rPr>
      </w:pPr>
    </w:p>
    <w:p>
      <w:pPr>
        <w:rPr>
          <w:rFonts w:hint="eastAsia"/>
          <w:b/>
          <w:sz w:val="32"/>
          <w:lang w:eastAsia="zh-CN"/>
        </w:rPr>
      </w:pPr>
    </w:p>
    <w:p>
      <w:pPr>
        <w:pStyle w:val="11"/>
        <w:numPr>
          <w:ilvl w:val="0"/>
          <w:numId w:val="2"/>
        </w:numPr>
        <w:spacing w:line="480" w:lineRule="auto"/>
        <w:ind w:firstLineChars="0"/>
        <w:rPr>
          <w:b/>
          <w:sz w:val="32"/>
        </w:rPr>
      </w:pPr>
      <w:r>
        <w:rPr>
          <w:rFonts w:hint="eastAsia"/>
          <w:b/>
          <w:sz w:val="32"/>
        </w:rPr>
        <w:t>资金用途</w:t>
      </w:r>
    </w:p>
    <w:p>
      <w:pPr>
        <w:ind w:firstLine="840" w:firstLineChars="3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关于董寨居委会留地安置用地，已经上蔡县政府批复（上政文【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2020</w:t>
      </w:r>
      <w:r>
        <w:rPr>
          <w:rFonts w:hint="eastAsia" w:asciiTheme="minorEastAsia" w:hAnsiTheme="minorEastAsia"/>
          <w:sz w:val="28"/>
          <w:szCs w:val="28"/>
          <w:lang w:eastAsia="zh-CN"/>
        </w:rPr>
        <w:t>】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30号</w:t>
      </w:r>
      <w:r>
        <w:rPr>
          <w:rFonts w:hint="eastAsia" w:asciiTheme="minorEastAsia" w:hAnsiTheme="minorEastAsia"/>
          <w:sz w:val="28"/>
          <w:szCs w:val="28"/>
          <w:lang w:eastAsia="zh-CN"/>
        </w:rPr>
        <w:t>），选址已经上蔡县委城乡规划委员会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2020第六次会议审议通过，</w:t>
      </w:r>
      <w:r>
        <w:rPr>
          <w:rFonts w:hint="eastAsia" w:asciiTheme="minorEastAsia" w:hAnsiTheme="minorEastAsia"/>
          <w:sz w:val="28"/>
          <w:szCs w:val="28"/>
        </w:rPr>
        <w:t>等待土地出让，预计出让金金额为</w:t>
      </w:r>
      <w:r>
        <w:rPr>
          <w:rFonts w:hint="eastAsia" w:asciiTheme="minorEastAsia" w:hAnsiTheme="minorEastAsia"/>
          <w:bCs/>
          <w:sz w:val="28"/>
          <w:szCs w:val="28"/>
          <w:lang w:val="en-US" w:eastAsia="zh-CN"/>
        </w:rPr>
        <w:t>186</w:t>
      </w:r>
      <w:r>
        <w:rPr>
          <w:rFonts w:hint="eastAsia" w:asciiTheme="minorEastAsia" w:hAnsiTheme="minorEastAsia"/>
          <w:bCs/>
          <w:sz w:val="28"/>
          <w:szCs w:val="28"/>
        </w:rPr>
        <w:t>万</w:t>
      </w:r>
      <w:r>
        <w:rPr>
          <w:rFonts w:hint="eastAsia" w:asciiTheme="minorEastAsia" w:hAnsiTheme="minorEastAsia"/>
          <w:sz w:val="28"/>
          <w:szCs w:val="28"/>
        </w:rPr>
        <w:t>/亩，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62</w:t>
      </w:r>
      <w:r>
        <w:rPr>
          <w:rFonts w:hint="eastAsia" w:asciiTheme="minorEastAsia" w:hAnsiTheme="minorEastAsia"/>
          <w:sz w:val="28"/>
          <w:szCs w:val="28"/>
        </w:rPr>
        <w:t>亩出让金为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1.15</w:t>
      </w:r>
      <w:r>
        <w:rPr>
          <w:rFonts w:hint="eastAsia" w:asciiTheme="minorEastAsia" w:hAnsiTheme="minorEastAsia"/>
          <w:sz w:val="28"/>
          <w:szCs w:val="28"/>
        </w:rPr>
        <w:t>亿元，项目推进至取得预售许可证（含各项政府性收费、税费、保证金等）须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1.4</w:t>
      </w:r>
      <w:r>
        <w:rPr>
          <w:rFonts w:hint="eastAsia" w:asciiTheme="minorEastAsia" w:hAnsiTheme="minorEastAsia"/>
          <w:sz w:val="28"/>
          <w:szCs w:val="28"/>
        </w:rPr>
        <w:t>亿。</w:t>
      </w:r>
    </w:p>
    <w:p>
      <w:pPr>
        <w:ind w:firstLine="840" w:firstLineChars="300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按照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上蔡县</w:t>
      </w:r>
      <w:r>
        <w:rPr>
          <w:rFonts w:hint="eastAsia" w:asciiTheme="minorEastAsia" w:hAnsiTheme="minorEastAsia"/>
          <w:sz w:val="28"/>
          <w:szCs w:val="28"/>
        </w:rPr>
        <w:t>人民政府关于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安置留用地相关</w:t>
      </w:r>
      <w:r>
        <w:rPr>
          <w:rFonts w:hint="eastAsia" w:asciiTheme="minorEastAsia" w:hAnsiTheme="minorEastAsia"/>
          <w:sz w:val="28"/>
          <w:szCs w:val="28"/>
        </w:rPr>
        <w:t>政策，出让金可返还70%，根据我司前期对本项目安置摸底情况</w:t>
      </w:r>
      <w:r>
        <w:rPr>
          <w:rFonts w:hint="eastAsia" w:asciiTheme="minorEastAsia" w:hAnsi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安置25000㎡</w:t>
      </w:r>
      <w:r>
        <w:rPr>
          <w:rFonts w:hint="eastAsia" w:asciiTheme="minorEastAsia" w:hAnsiTheme="minorEastAsia"/>
          <w:sz w:val="28"/>
          <w:szCs w:val="28"/>
          <w:lang w:eastAsia="zh-CN"/>
        </w:rPr>
        <w:t>）</w:t>
      </w:r>
      <w:r>
        <w:rPr>
          <w:rFonts w:hint="eastAsia" w:asciiTheme="minorEastAsia" w:hAnsiTheme="minorEastAsia"/>
          <w:sz w:val="28"/>
          <w:szCs w:val="28"/>
        </w:rPr>
        <w:t>及项目启动实际需求，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我司自有资金4000万元，</w:t>
      </w:r>
      <w:r>
        <w:rPr>
          <w:rFonts w:hint="eastAsia" w:asciiTheme="minorEastAsia" w:hAnsiTheme="minorEastAsia"/>
          <w:sz w:val="28"/>
          <w:szCs w:val="28"/>
        </w:rPr>
        <w:t>故我司计划申请融资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/>
          <w:sz w:val="28"/>
          <w:szCs w:val="28"/>
        </w:rPr>
        <w:t>亿元用于项目启动。</w:t>
      </w:r>
    </w:p>
    <w:p>
      <w:pPr>
        <w:pStyle w:val="11"/>
        <w:numPr>
          <w:ilvl w:val="0"/>
          <w:numId w:val="2"/>
        </w:numPr>
        <w:spacing w:line="480" w:lineRule="auto"/>
        <w:ind w:firstLineChars="0"/>
        <w:rPr>
          <w:b/>
          <w:sz w:val="32"/>
        </w:rPr>
      </w:pPr>
      <w:r>
        <w:rPr>
          <w:rFonts w:hint="eastAsia"/>
          <w:b/>
          <w:sz w:val="32"/>
        </w:rPr>
        <w:t>还款来源</w:t>
      </w:r>
    </w:p>
    <w:p>
      <w:pPr>
        <w:pStyle w:val="11"/>
        <w:numPr>
          <w:ilvl w:val="1"/>
          <w:numId w:val="5"/>
        </w:numPr>
        <w:spacing w:line="480" w:lineRule="auto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客户分析 </w:t>
      </w:r>
    </w:p>
    <w:p>
      <w:pPr>
        <w:spacing w:line="480" w:lineRule="auto"/>
        <w:rPr>
          <w:b/>
        </w:rPr>
      </w:pPr>
      <w:r>
        <w:rPr>
          <w:rFonts w:hint="eastAsia" w:asciiTheme="minorEastAsia" w:hAnsiTheme="minorEastAsia"/>
          <w:b/>
          <w:sz w:val="28"/>
          <w:szCs w:val="28"/>
        </w:rPr>
        <w:t>目标市场定位与分析</w:t>
      </w:r>
    </w:p>
    <w:p>
      <w:pPr>
        <w:pStyle w:val="11"/>
        <w:numPr>
          <w:ilvl w:val="0"/>
          <w:numId w:val="6"/>
        </w:numPr>
        <w:spacing w:line="480" w:lineRule="auto"/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总体定位城市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新区</w:t>
      </w:r>
      <w:r>
        <w:rPr>
          <w:rFonts w:hint="eastAsia" w:asciiTheme="minorEastAsia" w:hAnsiTheme="minorEastAsia"/>
          <w:sz w:val="28"/>
          <w:szCs w:val="28"/>
        </w:rPr>
        <w:t>的高端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教育与医疗</w:t>
      </w:r>
      <w:r>
        <w:rPr>
          <w:rFonts w:hint="eastAsia" w:asciiTheme="minorEastAsia" w:hAnsiTheme="minorEastAsia"/>
          <w:sz w:val="28"/>
          <w:szCs w:val="28"/>
        </w:rPr>
        <w:t>综合社区</w:t>
      </w:r>
    </w:p>
    <w:p>
      <w:pPr>
        <w:spacing w:line="480" w:lineRule="auto"/>
        <w:ind w:firstLine="560" w:firstLineChars="20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定位</w:t>
      </w:r>
      <w:r>
        <w:rPr>
          <w:rFonts w:asciiTheme="minorEastAsia" w:hAnsiTheme="minorEastAsia"/>
          <w:sz w:val="28"/>
          <w:szCs w:val="28"/>
        </w:rPr>
        <w:t>解释：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本项目北邻上蔡县第二高级中学，东邻上蔡县芦岗中心小学，南邻上蔡县湿地公园及上蔡县第一幼儿园，西邻恒春医院及思源初级中学，以上教育及医疗配套均在100米内。</w:t>
      </w:r>
    </w:p>
    <w:p>
      <w:pPr>
        <w:spacing w:line="480" w:lineRule="auto"/>
        <w:ind w:firstLine="560" w:firstLineChars="20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从</w:t>
      </w:r>
      <w:r>
        <w:rPr>
          <w:rFonts w:asciiTheme="minorEastAsia" w:hAnsiTheme="minorEastAsia"/>
          <w:sz w:val="28"/>
          <w:szCs w:val="28"/>
        </w:rPr>
        <w:t>市场调研：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该项目位于上蔡县东部城区，上蔡县约有160万人，人口基数较大，且主要乡镇集中于东部区域，中心城区购房者及乡镇购房者对该片区认可。项目位置优越、周边有万人安置社区（已入住）、乡镇教师职工安置小区，该地段房产项目活跃预计五年之内入住人口达到约为6万人，商业价值较大，市场前景可观，市场活跃购买力强。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 </w:t>
      </w:r>
      <w:r>
        <w:rPr>
          <w:rFonts w:asciiTheme="minorEastAsia" w:hAnsiTheme="minorEastAsia"/>
          <w:b/>
          <w:sz w:val="28"/>
          <w:szCs w:val="28"/>
        </w:rPr>
        <w:t>2</w:t>
      </w:r>
      <w:r>
        <w:rPr>
          <w:rFonts w:hint="eastAsia" w:asciiTheme="minorEastAsia" w:hAnsiTheme="minorEastAsia"/>
          <w:b/>
          <w:sz w:val="28"/>
          <w:szCs w:val="28"/>
        </w:rPr>
        <w:t>．主力客源： </w:t>
      </w:r>
    </w:p>
    <w:p>
      <w:pPr>
        <w:spacing w:line="480" w:lineRule="auto"/>
        <w:ind w:firstLine="560" w:firstLineChars="200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本项目定位是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教育及医疗</w:t>
      </w:r>
      <w:r>
        <w:rPr>
          <w:rFonts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主要客户来源为县城二次置业客户及东部乡镇进城置业客户。</w:t>
      </w:r>
    </w:p>
    <w:p>
      <w:pPr>
        <w:pStyle w:val="11"/>
        <w:spacing w:line="480" w:lineRule="auto"/>
        <w:ind w:firstLine="0"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  <w:lang w:val="en-US" w:eastAsia="zh-CN"/>
        </w:rPr>
        <w:t>二</w:t>
      </w:r>
      <w:r>
        <w:rPr>
          <w:rFonts w:hint="eastAsia"/>
          <w:b/>
          <w:sz w:val="28"/>
          <w:szCs w:val="28"/>
        </w:rPr>
        <w:t>）项目收入预测</w:t>
      </w:r>
    </w:p>
    <w:p>
      <w:pPr>
        <w:ind w:firstLine="560" w:firstLineChars="200"/>
        <w:rPr>
          <w:rFonts w:hint="eastAsia"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一期</w:t>
      </w:r>
      <w:r>
        <w:rPr>
          <w:rFonts w:hint="eastAsia" w:cs="仿宋" w:asciiTheme="minorEastAsia" w:hAnsiTheme="minorEastAsia"/>
          <w:sz w:val="28"/>
          <w:szCs w:val="28"/>
        </w:rPr>
        <w:t>可销售住宅面积共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79701</w:t>
      </w:r>
      <w:r>
        <w:rPr>
          <w:rFonts w:hint="eastAsia" w:cs="仿宋" w:asciiTheme="minorEastAsia" w:hAnsiTheme="minorEastAsia"/>
          <w:sz w:val="28"/>
          <w:szCs w:val="28"/>
        </w:rPr>
        <w:t>平方米，预计收入为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43835</w:t>
      </w:r>
      <w:r>
        <w:rPr>
          <w:rFonts w:hint="eastAsia" w:cs="仿宋" w:asciiTheme="minorEastAsia" w:hAnsiTheme="minorEastAsia"/>
          <w:sz w:val="28"/>
          <w:szCs w:val="28"/>
        </w:rPr>
        <w:t>亿元，商业可售面积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5510</w:t>
      </w:r>
      <w:r>
        <w:rPr>
          <w:rFonts w:hint="eastAsia" w:cs="仿宋" w:asciiTheme="minorEastAsia" w:hAnsiTheme="minorEastAsia"/>
          <w:sz w:val="28"/>
          <w:szCs w:val="28"/>
        </w:rPr>
        <w:t>㎡，预计收入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6061午安远</w:t>
      </w:r>
      <w:r>
        <w:rPr>
          <w:rFonts w:hint="eastAsia" w:cs="仿宋" w:asciiTheme="minorEastAsia" w:hAnsiTheme="minorEastAsia"/>
          <w:sz w:val="28"/>
          <w:szCs w:val="28"/>
        </w:rPr>
        <w:t>，地下车位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763</w:t>
      </w:r>
      <w:r>
        <w:rPr>
          <w:rFonts w:hint="eastAsia" w:cs="仿宋" w:asciiTheme="minorEastAsia" w:hAnsiTheme="minorEastAsia"/>
          <w:sz w:val="28"/>
          <w:szCs w:val="28"/>
        </w:rPr>
        <w:t>个，预计收入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0.6</w:t>
      </w:r>
      <w:r>
        <w:rPr>
          <w:rFonts w:hint="eastAsia" w:cs="仿宋" w:asciiTheme="minorEastAsia" w:hAnsiTheme="minorEastAsia"/>
          <w:sz w:val="28"/>
          <w:szCs w:val="28"/>
        </w:rPr>
        <w:t>亿，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土地返还8072万元，</w:t>
      </w:r>
      <w:r>
        <w:rPr>
          <w:rFonts w:hint="eastAsia" w:cs="仿宋" w:asciiTheme="minorEastAsia" w:hAnsiTheme="minorEastAsia"/>
          <w:sz w:val="28"/>
          <w:szCs w:val="28"/>
        </w:rPr>
        <w:t>总计收入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6.4</w:t>
      </w:r>
      <w:r>
        <w:rPr>
          <w:rFonts w:hint="eastAsia" w:cs="仿宋" w:asciiTheme="minorEastAsia" w:hAnsiTheme="minorEastAsia"/>
          <w:sz w:val="28"/>
          <w:szCs w:val="28"/>
        </w:rPr>
        <w:t>亿</w:t>
      </w:r>
      <w:r>
        <w:rPr>
          <w:rFonts w:hint="eastAsia" w:cs="仿宋" w:asciiTheme="minorEastAsia" w:hAnsiTheme="minorEastAsia"/>
          <w:sz w:val="28"/>
          <w:szCs w:val="28"/>
          <w:lang w:eastAsia="zh-CN"/>
        </w:rPr>
        <w:t>。</w:t>
      </w:r>
    </w:p>
    <w:tbl>
      <w:tblPr>
        <w:tblStyle w:val="6"/>
        <w:tblW w:w="7470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2055"/>
        <w:gridCol w:w="3255"/>
        <w:gridCol w:w="1545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6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类别</w:t>
            </w:r>
          </w:p>
        </w:tc>
        <w:tc>
          <w:tcPr>
            <w:tcW w:w="205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可售（㎡）（个）</w:t>
            </w:r>
          </w:p>
        </w:tc>
        <w:tc>
          <w:tcPr>
            <w:tcW w:w="325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价格预估（元/㎡）（元/个）</w:t>
            </w:r>
          </w:p>
        </w:tc>
        <w:tc>
          <w:tcPr>
            <w:tcW w:w="15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货值（万元）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6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住宅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79701</w:t>
            </w:r>
          </w:p>
        </w:tc>
        <w:tc>
          <w:tcPr>
            <w:tcW w:w="32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5500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43835.6万元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6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商业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5510</w:t>
            </w:r>
          </w:p>
        </w:tc>
        <w:tc>
          <w:tcPr>
            <w:tcW w:w="32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11000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6061.0万元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6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车位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763</w:t>
            </w:r>
          </w:p>
        </w:tc>
        <w:tc>
          <w:tcPr>
            <w:tcW w:w="32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80000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6104.0万元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2670" w:type="dxa"/>
            <w:gridSpan w:val="2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合计货值</w:t>
            </w:r>
          </w:p>
        </w:tc>
        <w:tc>
          <w:tcPr>
            <w:tcW w:w="32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56000.6万元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返还</w:t>
            </w:r>
          </w:p>
        </w:tc>
        <w:tc>
          <w:tcPr>
            <w:tcW w:w="205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325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1302000</w:t>
            </w:r>
          </w:p>
        </w:tc>
        <w:tc>
          <w:tcPr>
            <w:tcW w:w="15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8072.4万元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592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收益总合计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64073.0万元</w:t>
            </w:r>
          </w:p>
        </w:tc>
      </w:tr>
    </w:tbl>
    <w:p>
      <w:pPr>
        <w:rPr>
          <w:rFonts w:hint="eastAsia" w:cs="仿宋" w:asciiTheme="minorEastAsia" w:hAnsiTheme="minorEastAsia" w:eastAsiaTheme="minorEastAsia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cs="仿宋" w:asciiTheme="minorEastAsia" w:hAnsiTheme="minorEastAsia"/>
          <w:sz w:val="28"/>
          <w:szCs w:val="28"/>
          <w:lang w:val="en-US" w:eastAsia="zh-CN"/>
        </w:rPr>
      </w:pP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通过对项目基础数据的估算、投资计划可知本项目经济效益是很可观的，项目在经济上是可行的，财务上是盈利。</w:t>
      </w:r>
    </w:p>
    <w:p>
      <w:pPr>
        <w:numPr>
          <w:ilvl w:val="0"/>
          <w:numId w:val="7"/>
        </w:numPr>
        <w:spacing w:line="360" w:lineRule="auto"/>
        <w:rPr>
          <w:rFonts w:hint="eastAsia"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  <w:lang w:val="en-US" w:eastAsia="zh-CN"/>
        </w:rPr>
        <w:t>融资</w:t>
      </w:r>
      <w:r>
        <w:rPr>
          <w:rFonts w:hint="eastAsia" w:asciiTheme="minorEastAsia" w:hAnsiTheme="minorEastAsia"/>
          <w:b/>
          <w:bCs/>
          <w:sz w:val="28"/>
          <w:szCs w:val="28"/>
        </w:rPr>
        <w:t>还款计划</w:t>
      </w:r>
    </w:p>
    <w:p>
      <w:pPr>
        <w:ind w:firstLine="560" w:firstLineChars="200"/>
        <w:rPr>
          <w:rFonts w:hint="default" w:cs="仿宋" w:asciiTheme="minorEastAsia" w:hAnsiTheme="minorEastAsia"/>
          <w:sz w:val="28"/>
          <w:szCs w:val="28"/>
          <w:lang w:val="en-US" w:eastAsia="zh-CN"/>
        </w:rPr>
      </w:pP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1、项目资金需求首期住宅地融资需求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10000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万元；</w:t>
      </w:r>
    </w:p>
    <w:p>
      <w:pPr>
        <w:ind w:firstLine="560" w:firstLineChars="200"/>
        <w:rPr>
          <w:rFonts w:hint="default" w:cs="仿宋" w:asciiTheme="minorEastAsia" w:hAnsiTheme="minorEastAsia"/>
          <w:sz w:val="28"/>
          <w:szCs w:val="28"/>
          <w:lang w:val="en-US" w:eastAsia="zh-CN"/>
        </w:rPr>
      </w:pP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2、首期土地出让金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70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%返还，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返还款共计8072.4万元，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预计摘牌后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6个月内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返还到位，另外首期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62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亩住宅收入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6.4亿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，项目净利润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6091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万元，项目利润率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10.52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%；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一二期总收入9.5亿，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项目净利润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15910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万元，项目利润率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16.58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%；</w:t>
      </w:r>
    </w:p>
    <w:p>
      <w:pPr>
        <w:ind w:firstLine="560" w:firstLineChars="200"/>
        <w:rPr>
          <w:rFonts w:hint="default" w:cs="仿宋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根据目前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上蔡</w:t>
      </w:r>
      <w:r>
        <w:rPr>
          <w:rFonts w:hint="eastAsia" w:asciiTheme="minorEastAsia" w:hAnsiTheme="minorEastAsia"/>
          <w:sz w:val="28"/>
          <w:szCs w:val="28"/>
        </w:rPr>
        <w:t>房地产开发流程市场规律及现状，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项目预计2021年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3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月首开，销售回款金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1.5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亿元，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（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银行按揭2个月回款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），1.5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亿元回款预计202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2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年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5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月份到账1.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4</w:t>
      </w: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亿元，还本付息有足够保障</w:t>
      </w:r>
      <w:r>
        <w:rPr>
          <w:rFonts w:hint="eastAsia" w:cs="仿宋" w:asciiTheme="minorEastAsia" w:hAnsiTheme="minorEastAsia"/>
          <w:sz w:val="28"/>
          <w:szCs w:val="28"/>
          <w:lang w:val="en-US" w:eastAsia="zh-CN"/>
        </w:rPr>
        <w:t>。</w:t>
      </w:r>
      <w:r>
        <w:rPr>
          <w:rFonts w:hint="eastAsia" w:asciiTheme="minorEastAsia" w:hAnsiTheme="minorEastAsia"/>
          <w:sz w:val="28"/>
          <w:szCs w:val="28"/>
        </w:rPr>
        <w:t>计划资金使用周期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12</w:t>
      </w:r>
      <w:r>
        <w:rPr>
          <w:rFonts w:hint="eastAsia" w:asciiTheme="minorEastAsia" w:hAnsiTheme="minorEastAsia"/>
          <w:sz w:val="28"/>
          <w:szCs w:val="28"/>
        </w:rPr>
        <w:t>个月，于2</w:t>
      </w:r>
      <w:r>
        <w:rPr>
          <w:rFonts w:asciiTheme="minorEastAsia" w:hAnsiTheme="minorEastAsia"/>
          <w:sz w:val="28"/>
          <w:szCs w:val="28"/>
        </w:rPr>
        <w:t>022</w:t>
      </w:r>
      <w:r>
        <w:rPr>
          <w:rFonts w:hint="eastAsia" w:asciiTheme="minorEastAsia" w:hAnsiTheme="minorEastAsia"/>
          <w:sz w:val="28"/>
          <w:szCs w:val="28"/>
        </w:rPr>
        <w:t>年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8</w:t>
      </w:r>
      <w:r>
        <w:rPr>
          <w:rFonts w:hint="eastAsia" w:asciiTheme="minorEastAsia" w:hAnsiTheme="minorEastAsia"/>
          <w:sz w:val="28"/>
          <w:szCs w:val="28"/>
        </w:rPr>
        <w:t>月底前还款完毕。</w:t>
      </w:r>
    </w:p>
    <w:p>
      <w:pPr>
        <w:ind w:firstLine="560" w:firstLineChars="200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default" w:cs="仿宋" w:asciiTheme="minorEastAsia" w:hAnsiTheme="minorEastAsia"/>
          <w:sz w:val="28"/>
          <w:szCs w:val="28"/>
          <w:lang w:val="en-US" w:eastAsia="zh-CN"/>
        </w:rPr>
        <w:t>3、项目滚动开发，后期摘地节奏依据上一期销售回款情况进行土地摘牌工作，由于土地出让金返还及首开回款优势，实现项目有序正常运转；</w:t>
      </w:r>
    </w:p>
    <w:p>
      <w:pPr>
        <w:jc w:val="right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上蔡县弘天实业有限公司</w:t>
      </w:r>
      <w:r>
        <w:rPr>
          <w:rFonts w:hint="eastAsia" w:asciiTheme="minorEastAsia" w:hAnsiTheme="minorEastAsia"/>
          <w:b/>
          <w:bCs/>
          <w:sz w:val="28"/>
          <w:szCs w:val="28"/>
        </w:rPr>
        <w:t xml:space="preserve">                                20</w:t>
      </w:r>
      <w:r>
        <w:rPr>
          <w:rFonts w:asciiTheme="minorEastAsia" w:hAnsiTheme="minorEastAsia"/>
          <w:b/>
          <w:bCs/>
          <w:sz w:val="28"/>
          <w:szCs w:val="28"/>
        </w:rPr>
        <w:t>2</w:t>
      </w:r>
      <w:r>
        <w:rPr>
          <w:rFonts w:hint="eastAsia" w:asciiTheme="minorEastAsia" w:hAnsiTheme="minorEastAsia"/>
          <w:b/>
          <w:bCs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/>
          <w:b/>
          <w:bCs/>
          <w:sz w:val="28"/>
          <w:szCs w:val="28"/>
        </w:rPr>
        <w:t>年</w:t>
      </w:r>
      <w:r>
        <w:rPr>
          <w:rFonts w:hint="eastAsia" w:asciiTheme="minorEastAsia" w:hAnsiTheme="minorEastAsia"/>
          <w:b/>
          <w:bCs/>
          <w:sz w:val="28"/>
          <w:szCs w:val="28"/>
          <w:lang w:val="en-US" w:eastAsia="zh-CN"/>
        </w:rPr>
        <w:t>7</w:t>
      </w:r>
      <w:r>
        <w:rPr>
          <w:rFonts w:hint="eastAsia" w:asciiTheme="minorEastAsia" w:hAnsiTheme="minorEastAsia"/>
          <w:b/>
          <w:bCs/>
          <w:sz w:val="28"/>
          <w:szCs w:val="28"/>
        </w:rPr>
        <w:t>月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30204"/>
    <w:charset w:val="00"/>
    <w:family w:val="auto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b/>
        <w:color w:val="000000" w:themeColor="text1"/>
        <w:sz w:val="22"/>
        <w14:textFill>
          <w14:solidFill>
            <w14:schemeClr w14:val="tx1"/>
          </w14:solidFill>
        </w14:textFill>
      </w:rPr>
    </w:pPr>
    <w:r>
      <w:rPr>
        <w:b/>
        <w:color w:val="000000" w:themeColor="text1"/>
        <w:sz w:val="22"/>
        <w14:textFill>
          <w14:solidFill>
            <w14:schemeClr w14:val="tx1"/>
          </w14:solidFill>
        </w14:textFill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矩形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_x0000_s1026" o:spid="_x0000_s1026" o:spt="1" style="position:absolute;left:0pt;height:750.3pt;width:579.9pt;mso-position-horizontal:center;mso-position-horizontal-relative:page;mso-position-vertical:center;mso-position-vertical-relative:page;z-index:251659264;v-text-anchor:middle;mso-width-relative:page;mso-height-relative:page;mso-width-percent:950;mso-height-percent:950;" filled="f" stroked="t" coordsize="21600,21600" o:gfxdata="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FPdz0NQAAAAHAQAADwAAAAAAAAABACAAAAAi&#10;AAAAZHJzL2Rvd25yZXYueG1sUEsBAhQAFAAAAAgAh07iQCc1cZeAAgAA8gQAAA4AAAAAAAAAAQAg&#10;AAAAIwEAAGRycy9lMm9Eb2MueG1sUEsFBgAAAAAGAAYAWQEAABUGAAAAAA==&#10;">
              <v:fill on="f" focussize="0,0"/>
              <v:stroke weight="1.25pt" color="#767171 [1614]" miterlimit="8" joinstyle="miter"/>
              <v:imagedata o:title=""/>
              <o:lock v:ext="edit" aspectratio="f"/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AC164E"/>
    <w:multiLevelType w:val="singleLevel"/>
    <w:tmpl w:val="CFAC164E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30586E73"/>
    <w:multiLevelType w:val="multilevel"/>
    <w:tmpl w:val="30586E73"/>
    <w:lvl w:ilvl="0" w:tentative="0">
      <w:start w:val="1"/>
      <w:numFmt w:val="japaneseCounting"/>
      <w:lvlText w:val="%1、"/>
      <w:lvlJc w:val="left"/>
      <w:pPr>
        <w:ind w:left="555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75" w:hanging="420"/>
      </w:pPr>
    </w:lvl>
    <w:lvl w:ilvl="2" w:tentative="0">
      <w:start w:val="1"/>
      <w:numFmt w:val="lowerRoman"/>
      <w:lvlText w:val="%3."/>
      <w:lvlJc w:val="right"/>
      <w:pPr>
        <w:ind w:left="1395" w:hanging="420"/>
      </w:pPr>
    </w:lvl>
    <w:lvl w:ilvl="3" w:tentative="0">
      <w:start w:val="1"/>
      <w:numFmt w:val="decimal"/>
      <w:lvlText w:val="%4."/>
      <w:lvlJc w:val="left"/>
      <w:pPr>
        <w:ind w:left="1815" w:hanging="420"/>
      </w:pPr>
    </w:lvl>
    <w:lvl w:ilvl="4" w:tentative="0">
      <w:start w:val="1"/>
      <w:numFmt w:val="lowerLetter"/>
      <w:lvlText w:val="%5)"/>
      <w:lvlJc w:val="left"/>
      <w:pPr>
        <w:ind w:left="2235" w:hanging="420"/>
      </w:pPr>
    </w:lvl>
    <w:lvl w:ilvl="5" w:tentative="0">
      <w:start w:val="1"/>
      <w:numFmt w:val="lowerRoman"/>
      <w:lvlText w:val="%6."/>
      <w:lvlJc w:val="right"/>
      <w:pPr>
        <w:ind w:left="2655" w:hanging="420"/>
      </w:pPr>
    </w:lvl>
    <w:lvl w:ilvl="6" w:tentative="0">
      <w:start w:val="1"/>
      <w:numFmt w:val="decimal"/>
      <w:lvlText w:val="%7."/>
      <w:lvlJc w:val="left"/>
      <w:pPr>
        <w:ind w:left="3075" w:hanging="420"/>
      </w:pPr>
    </w:lvl>
    <w:lvl w:ilvl="7" w:tentative="0">
      <w:start w:val="1"/>
      <w:numFmt w:val="lowerLetter"/>
      <w:lvlText w:val="%8)"/>
      <w:lvlJc w:val="left"/>
      <w:pPr>
        <w:ind w:left="3495" w:hanging="420"/>
      </w:pPr>
    </w:lvl>
    <w:lvl w:ilvl="8" w:tentative="0">
      <w:start w:val="1"/>
      <w:numFmt w:val="lowerRoman"/>
      <w:lvlText w:val="%9."/>
      <w:lvlJc w:val="right"/>
      <w:pPr>
        <w:ind w:left="3915" w:hanging="420"/>
      </w:pPr>
    </w:lvl>
  </w:abstractNum>
  <w:abstractNum w:abstractNumId="2">
    <w:nsid w:val="38374600"/>
    <w:multiLevelType w:val="multilevel"/>
    <w:tmpl w:val="38374600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95C2B4C"/>
    <w:multiLevelType w:val="multilevel"/>
    <w:tmpl w:val="395C2B4C"/>
    <w:lvl w:ilvl="0" w:tentative="0">
      <w:start w:val="1"/>
      <w:numFmt w:val="chineseCountingThousand"/>
      <w:lvlText w:val="(%1)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5C93DA7"/>
    <w:multiLevelType w:val="multilevel"/>
    <w:tmpl w:val="55C93DA7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chineseCountingThousand"/>
      <w:lvlText w:val="(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9364541"/>
    <w:multiLevelType w:val="multilevel"/>
    <w:tmpl w:val="5936454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37D5060"/>
    <w:multiLevelType w:val="multilevel"/>
    <w:tmpl w:val="737D5060"/>
    <w:lvl w:ilvl="0" w:tentative="0">
      <w:start w:val="1"/>
      <w:numFmt w:val="japaneseCounting"/>
      <w:lvlText w:val="%1、"/>
      <w:lvlJc w:val="left"/>
      <w:pPr>
        <w:ind w:left="85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75" w:hanging="420"/>
      </w:pPr>
    </w:lvl>
    <w:lvl w:ilvl="2" w:tentative="0">
      <w:start w:val="1"/>
      <w:numFmt w:val="lowerRoman"/>
      <w:lvlText w:val="%3."/>
      <w:lvlJc w:val="right"/>
      <w:pPr>
        <w:ind w:left="1395" w:hanging="420"/>
      </w:pPr>
    </w:lvl>
    <w:lvl w:ilvl="3" w:tentative="0">
      <w:start w:val="1"/>
      <w:numFmt w:val="decimal"/>
      <w:lvlText w:val="%4."/>
      <w:lvlJc w:val="left"/>
      <w:pPr>
        <w:ind w:left="1815" w:hanging="420"/>
      </w:pPr>
    </w:lvl>
    <w:lvl w:ilvl="4" w:tentative="0">
      <w:start w:val="1"/>
      <w:numFmt w:val="lowerLetter"/>
      <w:lvlText w:val="%5)"/>
      <w:lvlJc w:val="left"/>
      <w:pPr>
        <w:ind w:left="2235" w:hanging="420"/>
      </w:pPr>
    </w:lvl>
    <w:lvl w:ilvl="5" w:tentative="0">
      <w:start w:val="1"/>
      <w:numFmt w:val="lowerRoman"/>
      <w:lvlText w:val="%6."/>
      <w:lvlJc w:val="right"/>
      <w:pPr>
        <w:ind w:left="2655" w:hanging="420"/>
      </w:pPr>
    </w:lvl>
    <w:lvl w:ilvl="6" w:tentative="0">
      <w:start w:val="1"/>
      <w:numFmt w:val="decimal"/>
      <w:lvlText w:val="%7."/>
      <w:lvlJc w:val="left"/>
      <w:pPr>
        <w:ind w:left="3075" w:hanging="420"/>
      </w:pPr>
    </w:lvl>
    <w:lvl w:ilvl="7" w:tentative="0">
      <w:start w:val="1"/>
      <w:numFmt w:val="lowerLetter"/>
      <w:lvlText w:val="%8)"/>
      <w:lvlJc w:val="left"/>
      <w:pPr>
        <w:ind w:left="3495" w:hanging="420"/>
      </w:pPr>
    </w:lvl>
    <w:lvl w:ilvl="8" w:tentative="0">
      <w:start w:val="1"/>
      <w:numFmt w:val="lowerRoman"/>
      <w:lvlText w:val="%9."/>
      <w:lvlJc w:val="right"/>
      <w:pPr>
        <w:ind w:left="3915" w:hanging="42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4D0D"/>
    <w:rsid w:val="00050D4F"/>
    <w:rsid w:val="0007358B"/>
    <w:rsid w:val="0008443F"/>
    <w:rsid w:val="000920B7"/>
    <w:rsid w:val="000A5C50"/>
    <w:rsid w:val="000B014B"/>
    <w:rsid w:val="000D57E8"/>
    <w:rsid w:val="001249CA"/>
    <w:rsid w:val="00133B18"/>
    <w:rsid w:val="001377AF"/>
    <w:rsid w:val="00172A27"/>
    <w:rsid w:val="0019785B"/>
    <w:rsid w:val="001A79BC"/>
    <w:rsid w:val="001D1EB9"/>
    <w:rsid w:val="002071B3"/>
    <w:rsid w:val="00213C98"/>
    <w:rsid w:val="0022166D"/>
    <w:rsid w:val="00226D12"/>
    <w:rsid w:val="002303A8"/>
    <w:rsid w:val="002416C2"/>
    <w:rsid w:val="00252922"/>
    <w:rsid w:val="002637B2"/>
    <w:rsid w:val="00275176"/>
    <w:rsid w:val="00293709"/>
    <w:rsid w:val="002947E6"/>
    <w:rsid w:val="00296472"/>
    <w:rsid w:val="002A07BB"/>
    <w:rsid w:val="002A2044"/>
    <w:rsid w:val="002C1287"/>
    <w:rsid w:val="002C6674"/>
    <w:rsid w:val="00306069"/>
    <w:rsid w:val="00331048"/>
    <w:rsid w:val="00331134"/>
    <w:rsid w:val="00337810"/>
    <w:rsid w:val="00343EAF"/>
    <w:rsid w:val="0035118A"/>
    <w:rsid w:val="00351A5F"/>
    <w:rsid w:val="00373303"/>
    <w:rsid w:val="003771BE"/>
    <w:rsid w:val="00382AA5"/>
    <w:rsid w:val="003842BF"/>
    <w:rsid w:val="00391B1C"/>
    <w:rsid w:val="00396A90"/>
    <w:rsid w:val="003B0B4D"/>
    <w:rsid w:val="003D0FEC"/>
    <w:rsid w:val="003D42D3"/>
    <w:rsid w:val="003D44D7"/>
    <w:rsid w:val="00410CDF"/>
    <w:rsid w:val="004149E8"/>
    <w:rsid w:val="00414E04"/>
    <w:rsid w:val="00444357"/>
    <w:rsid w:val="00447B77"/>
    <w:rsid w:val="00492F55"/>
    <w:rsid w:val="004967C2"/>
    <w:rsid w:val="004E2F63"/>
    <w:rsid w:val="004F50FD"/>
    <w:rsid w:val="00513D1E"/>
    <w:rsid w:val="00515C22"/>
    <w:rsid w:val="00527D8F"/>
    <w:rsid w:val="00546815"/>
    <w:rsid w:val="00553C67"/>
    <w:rsid w:val="00553D0C"/>
    <w:rsid w:val="005E2E33"/>
    <w:rsid w:val="005E2E34"/>
    <w:rsid w:val="00630071"/>
    <w:rsid w:val="00633CCC"/>
    <w:rsid w:val="00687D31"/>
    <w:rsid w:val="00691BFA"/>
    <w:rsid w:val="006D5168"/>
    <w:rsid w:val="006E610B"/>
    <w:rsid w:val="006F2434"/>
    <w:rsid w:val="00720BDF"/>
    <w:rsid w:val="0072444D"/>
    <w:rsid w:val="00731CAC"/>
    <w:rsid w:val="0077051F"/>
    <w:rsid w:val="007F7CBD"/>
    <w:rsid w:val="00801CC5"/>
    <w:rsid w:val="00830629"/>
    <w:rsid w:val="00836A29"/>
    <w:rsid w:val="00837616"/>
    <w:rsid w:val="0083765D"/>
    <w:rsid w:val="0084520C"/>
    <w:rsid w:val="00847083"/>
    <w:rsid w:val="008657F5"/>
    <w:rsid w:val="00870FDB"/>
    <w:rsid w:val="00895881"/>
    <w:rsid w:val="008A011E"/>
    <w:rsid w:val="008B6E7D"/>
    <w:rsid w:val="008C75C1"/>
    <w:rsid w:val="008D10B4"/>
    <w:rsid w:val="008E3443"/>
    <w:rsid w:val="0093622B"/>
    <w:rsid w:val="0095309A"/>
    <w:rsid w:val="00971747"/>
    <w:rsid w:val="00981B6F"/>
    <w:rsid w:val="00991E35"/>
    <w:rsid w:val="009B7F9A"/>
    <w:rsid w:val="009C4423"/>
    <w:rsid w:val="009F667A"/>
    <w:rsid w:val="00A035D3"/>
    <w:rsid w:val="00A0660E"/>
    <w:rsid w:val="00A07183"/>
    <w:rsid w:val="00A35746"/>
    <w:rsid w:val="00A47E3C"/>
    <w:rsid w:val="00A61BB7"/>
    <w:rsid w:val="00A645BE"/>
    <w:rsid w:val="00A7335F"/>
    <w:rsid w:val="00A848D5"/>
    <w:rsid w:val="00AA2416"/>
    <w:rsid w:val="00AB671A"/>
    <w:rsid w:val="00AC24A5"/>
    <w:rsid w:val="00AC7F6A"/>
    <w:rsid w:val="00AD3164"/>
    <w:rsid w:val="00AF1630"/>
    <w:rsid w:val="00AF4586"/>
    <w:rsid w:val="00B2497F"/>
    <w:rsid w:val="00B956DC"/>
    <w:rsid w:val="00BF0A60"/>
    <w:rsid w:val="00C17D2B"/>
    <w:rsid w:val="00C531B8"/>
    <w:rsid w:val="00C640E5"/>
    <w:rsid w:val="00C70999"/>
    <w:rsid w:val="00C70F2E"/>
    <w:rsid w:val="00C767DD"/>
    <w:rsid w:val="00C83BBC"/>
    <w:rsid w:val="00C903E6"/>
    <w:rsid w:val="00C90648"/>
    <w:rsid w:val="00CB7D36"/>
    <w:rsid w:val="00CE2D21"/>
    <w:rsid w:val="00CE72D6"/>
    <w:rsid w:val="00D1717D"/>
    <w:rsid w:val="00D210B1"/>
    <w:rsid w:val="00D32E6A"/>
    <w:rsid w:val="00D73296"/>
    <w:rsid w:val="00DA3861"/>
    <w:rsid w:val="00DB051C"/>
    <w:rsid w:val="00DC1F6A"/>
    <w:rsid w:val="00DC4351"/>
    <w:rsid w:val="00DC6EE2"/>
    <w:rsid w:val="00DC7CB0"/>
    <w:rsid w:val="00DD35B9"/>
    <w:rsid w:val="00DE55DA"/>
    <w:rsid w:val="00DF3AF9"/>
    <w:rsid w:val="00DF69E4"/>
    <w:rsid w:val="00E00197"/>
    <w:rsid w:val="00E02B44"/>
    <w:rsid w:val="00E077A6"/>
    <w:rsid w:val="00E611CE"/>
    <w:rsid w:val="00E94242"/>
    <w:rsid w:val="00E97FD6"/>
    <w:rsid w:val="00EB2B34"/>
    <w:rsid w:val="00EC7BEF"/>
    <w:rsid w:val="00EE2672"/>
    <w:rsid w:val="00EE2F62"/>
    <w:rsid w:val="00EF3042"/>
    <w:rsid w:val="00F15380"/>
    <w:rsid w:val="00F81BC9"/>
    <w:rsid w:val="00FB1390"/>
    <w:rsid w:val="00FB5E3C"/>
    <w:rsid w:val="0C315DFB"/>
    <w:rsid w:val="14CE6273"/>
    <w:rsid w:val="1F75407D"/>
    <w:rsid w:val="20F91D03"/>
    <w:rsid w:val="27E35135"/>
    <w:rsid w:val="36E42252"/>
    <w:rsid w:val="49092011"/>
    <w:rsid w:val="5A505534"/>
    <w:rsid w:val="683D4315"/>
    <w:rsid w:val="72B04F7D"/>
    <w:rsid w:val="78F6198E"/>
    <w:rsid w:val="7EB77403"/>
    <w:rsid w:val="7FB8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nhideWhenUsed="0" w:uiPriority="0" w:semiHidden="0" w:name="Table Web 3"/>
    <w:lsdException w:qFormat="1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unhideWhenUsed/>
    <w:qFormat/>
    <w:uiPriority w:val="0"/>
    <w:rPr>
      <w:sz w:val="18"/>
      <w:szCs w:val="18"/>
    </w:rPr>
  </w:style>
  <w:style w:type="paragraph" w:styleId="3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uiPriority w:val="0"/>
    <w:rPr>
      <w:color w:val="0000FF"/>
      <w:u w:val="single"/>
    </w:rPr>
  </w:style>
  <w:style w:type="paragraph" w:customStyle="1" w:styleId="11">
    <w:name w:val="列表段落1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页眉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3">
    <w:name w:val="页脚 字符"/>
    <w:basedOn w:val="8"/>
    <w:link w:val="3"/>
    <w:qFormat/>
    <w:uiPriority w:val="0"/>
    <w:rPr>
      <w:kern w:val="2"/>
      <w:sz w:val="18"/>
      <w:szCs w:val="18"/>
    </w:rPr>
  </w:style>
  <w:style w:type="character" w:customStyle="1" w:styleId="14">
    <w:name w:val="批注框文本 字符"/>
    <w:basedOn w:val="8"/>
    <w:link w:val="2"/>
    <w:semiHidden/>
    <w:uiPriority w:val="0"/>
    <w:rPr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588</Words>
  <Characters>3358</Characters>
  <Lines>27</Lines>
  <Paragraphs>7</Paragraphs>
  <TotalTime>11</TotalTime>
  <ScaleCrop>false</ScaleCrop>
  <LinksUpToDate>false</LinksUpToDate>
  <CharactersWithSpaces>3939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2020-08-18T03:18:00Z</dcterms:created>
  <dc:creator>lenovo</dc:creator>
  <cp:lastModifiedBy>刘宪锋</cp:lastModifiedBy>
  <cp:lastPrinted>2020-05-14T01:27:00Z</cp:lastPrinted>
  <dcterms:modified xsi:type="dcterms:W3CDTF">2021-11-03T12:06:13Z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8C47DA34566B48EBACF20C8DD383BCB4</vt:lpwstr>
  </property>
</Properties>
</file>