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消防标准：</w:t>
      </w:r>
    </w:p>
    <w:p>
      <w:pPr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并二类或可改建并二类及以上</w:t>
      </w:r>
    </w:p>
    <w:p>
      <w:pPr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土地性质：</w:t>
      </w:r>
    </w:p>
    <w:p>
      <w:pPr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仓储用地或工业用地</w:t>
      </w:r>
    </w:p>
    <w:p>
      <w:pPr>
        <w:ind w:left="1800" w:hanging="1800" w:hangingChars="500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 xml:space="preserve">立项：    </w:t>
      </w:r>
    </w:p>
    <w:p>
      <w:pPr>
        <w:ind w:left="1800" w:hanging="1800" w:hangingChars="500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仓储，配送中心，转运中心或类似字样立项（如有需</w:t>
      </w:r>
    </w:p>
    <w:p>
      <w:pPr>
        <w:ind w:left="1800" w:hanging="1800" w:hangingChars="500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求，我司可提供高端制造或生物医药之类项目辅助立</w:t>
      </w:r>
    </w:p>
    <w:p>
      <w:pPr>
        <w:ind w:left="1800" w:hanging="1800" w:hangingChars="500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项）</w:t>
      </w:r>
    </w:p>
    <w:p>
      <w:pPr>
        <w:ind w:left="1800" w:hanging="1800" w:hangingChars="500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税收承诺及投资强度承诺</w:t>
      </w:r>
      <w:r>
        <w:rPr>
          <w:rFonts w:hint="eastAsia" w:ascii="楷体" w:hAnsi="楷体" w:eastAsia="楷体"/>
          <w:sz w:val="36"/>
          <w:szCs w:val="36"/>
          <w:lang w:val="en-US" w:eastAsia="zh-CN"/>
        </w:rPr>
        <w:t>罚则</w:t>
      </w:r>
      <w:r>
        <w:rPr>
          <w:rFonts w:hint="eastAsia" w:ascii="楷体" w:hAnsi="楷体" w:eastAsia="楷体"/>
          <w:sz w:val="36"/>
          <w:szCs w:val="36"/>
        </w:rPr>
        <w:t>：</w:t>
      </w:r>
    </w:p>
    <w:p>
      <w:pPr>
        <w:ind w:left="1800" w:hanging="1800" w:hangingChars="500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没有最好，如有罚则需是闭口罚则，即固定金额的金</w:t>
      </w:r>
    </w:p>
    <w:p>
      <w:pPr>
        <w:ind w:left="1800" w:hanging="1800" w:hangingChars="500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钱违约金罚则（主要形式是：或者是固定金额违约金</w:t>
      </w:r>
    </w:p>
    <w:p>
      <w:pPr>
        <w:ind w:left="1800" w:hanging="1800" w:hangingChars="500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罚则，或者前端收取固定金额的税收/投强履约保证金</w:t>
      </w:r>
    </w:p>
    <w:p>
      <w:pPr>
        <w:ind w:left="1800" w:hanging="1800" w:hangingChars="500"/>
        <w:rPr>
          <w:rFonts w:hint="eastAsia"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且对应违约责任是罚没该等履行保证金，或者以固定</w:t>
      </w:r>
    </w:p>
    <w:p>
      <w:pPr>
        <w:ind w:left="1800" w:hanging="1800" w:hangingChars="500"/>
        <w:rPr>
          <w:rFonts w:hint="eastAsia"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年份一定比例的税收补足方式），而不能存在按年按日</w:t>
      </w:r>
    </w:p>
    <w:p>
      <w:pPr>
        <w:ind w:left="1800" w:hanging="1800" w:hangingChars="500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累计的违约金乃至收回土地或者市场禁入类的罚则。</w:t>
      </w:r>
    </w:p>
    <w:p>
      <w:pPr>
        <w:ind w:left="1800" w:hanging="1800" w:hangingChars="500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土地面积：</w:t>
      </w:r>
    </w:p>
    <w:p>
      <w:pPr>
        <w:ind w:left="1800" w:hanging="1800" w:hangingChars="500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核心城市50亩以上，最好100至200亩以上。</w:t>
      </w:r>
    </w:p>
    <w:p>
      <w:pPr>
        <w:ind w:left="1800" w:hanging="1800" w:hangingChars="500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年限：</w:t>
      </w:r>
    </w:p>
    <w:p>
      <w:pPr>
        <w:ind w:left="1800" w:hanging="1800" w:hangingChars="500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一手地50年，二手地不低于30年</w:t>
      </w:r>
    </w:p>
    <w:p>
      <w:pPr>
        <w:ind w:left="1800" w:hanging="1800" w:hangingChars="500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其他条件：</w:t>
      </w:r>
    </w:p>
    <w:p>
      <w:pPr>
        <w:ind w:left="1800" w:hanging="1800" w:hangingChars="500"/>
        <w:rPr>
          <w:rFonts w:hint="eastAsia"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容积率1.5以上（越高越好）、限高最好30米以上（越</w:t>
      </w:r>
    </w:p>
    <w:p>
      <w:pPr>
        <w:ind w:left="1800" w:hanging="1800" w:hangingChars="500"/>
        <w:rPr>
          <w:rFonts w:hint="eastAsia"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高越好），其他建筑密度 &gt; 50%、绿化率&lt; 20% 、单层</w:t>
      </w:r>
    </w:p>
    <w:p>
      <w:pPr>
        <w:ind w:left="1800" w:hanging="1800" w:hangingChars="500"/>
        <w:rPr>
          <w:rFonts w:hint="eastAsia"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层高超8米可单倍计容等条件一般报批报建都比较容</w:t>
      </w:r>
    </w:p>
    <w:p>
      <w:pPr>
        <w:ind w:left="1800" w:hanging="1800" w:hangingChars="500"/>
        <w:rPr>
          <w:rFonts w:hint="eastAsia"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易达成。</w:t>
      </w:r>
    </w:p>
    <w:p>
      <w:pPr>
        <w:ind w:left="1800" w:hanging="1800" w:hangingChars="500"/>
        <w:rPr>
          <w:rFonts w:hint="eastAsia"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其他：</w:t>
      </w:r>
    </w:p>
    <w:p>
      <w:pPr>
        <w:ind w:left="1800" w:hanging="1800" w:hangingChars="500"/>
        <w:rPr>
          <w:rFonts w:hint="eastAsia"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地块位置很好的区域，政府对企业要求比较高，我司</w:t>
      </w:r>
    </w:p>
    <w:p>
      <w:pPr>
        <w:ind w:left="1800" w:hanging="1800" w:hangingChars="500"/>
        <w:rPr>
          <w:rFonts w:hint="eastAsia"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可提供合适的</w:t>
      </w:r>
      <w:bookmarkStart w:id="0" w:name="_GoBack"/>
      <w:bookmarkEnd w:id="0"/>
      <w:r>
        <w:rPr>
          <w:rFonts w:hint="eastAsia" w:ascii="楷体" w:hAnsi="楷体" w:eastAsia="楷体"/>
          <w:sz w:val="36"/>
          <w:szCs w:val="36"/>
          <w:lang w:val="en-US" w:eastAsia="zh-CN"/>
        </w:rPr>
        <w:t>产业</w:t>
      </w:r>
      <w:r>
        <w:rPr>
          <w:rFonts w:hint="eastAsia" w:ascii="楷体" w:hAnsi="楷体" w:eastAsia="楷体"/>
          <w:sz w:val="36"/>
          <w:szCs w:val="36"/>
        </w:rPr>
        <w:t>和项目配合政府考察调研，位置一</w:t>
      </w:r>
    </w:p>
    <w:p>
      <w:pPr>
        <w:ind w:left="1800" w:hanging="1800" w:hangingChars="500"/>
        <w:rPr>
          <w:rFonts w:hint="eastAsia"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般地块区域，尽量以外资电商物流园这样直接的物流</w:t>
      </w:r>
    </w:p>
    <w:p>
      <w:pPr>
        <w:ind w:left="1800" w:hanging="1800" w:hangingChars="500"/>
        <w:rPr>
          <w:rFonts w:hint="eastAsia"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项目立项为佳。</w:t>
      </w:r>
    </w:p>
    <w:p>
      <w:pPr>
        <w:ind w:left="1800" w:hanging="1800" w:hangingChars="500"/>
        <w:rPr>
          <w:rFonts w:ascii="楷体" w:hAnsi="楷体" w:eastAsia="楷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EB9"/>
    <w:rsid w:val="00261D1C"/>
    <w:rsid w:val="00341B32"/>
    <w:rsid w:val="003E40BF"/>
    <w:rsid w:val="00463E1D"/>
    <w:rsid w:val="00595091"/>
    <w:rsid w:val="00824CC1"/>
    <w:rsid w:val="00986EB9"/>
    <w:rsid w:val="00B451D1"/>
    <w:rsid w:val="00CA7DBB"/>
    <w:rsid w:val="00CD0BDD"/>
    <w:rsid w:val="00D25543"/>
    <w:rsid w:val="00F8173E"/>
    <w:rsid w:val="0F1F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433</Words>
  <Characters>447</Characters>
  <Lines>3</Lines>
  <Paragraphs>1</Paragraphs>
  <TotalTime>65</TotalTime>
  <ScaleCrop>false</ScaleCrop>
  <LinksUpToDate>false</LinksUpToDate>
  <CharactersWithSpaces>455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2022-02-12T05:05:00Z</dcterms:created>
  <dc:creator>x240</dc:creator>
  <cp:lastModifiedBy>刘宪锋</cp:lastModifiedBy>
  <dcterms:modified xsi:type="dcterms:W3CDTF">2022-04-25T12:33:00Z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452A07050CAB48DEA014E60EE3274FB6</vt:lpwstr>
  </property>
</Properties>
</file>