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本项目现状为净地。</w:t>
      </w:r>
    </w:p>
    <w:p>
      <w:pPr>
        <w:rPr>
          <w:rFonts w:hint="eastAsia"/>
        </w:rPr>
      </w:pPr>
      <w:r>
        <w:rPr>
          <w:rFonts w:hint="eastAsia"/>
        </w:rPr>
        <w:t>唐山荣程房地产公司股东经司法拍卖于2013年11月5日竞得于唐山市路南区205国道南侧的国有土地使用权48,546.65平方米，拍卖成交价格5,066.00万元。</w:t>
      </w:r>
    </w:p>
    <w:p>
      <w:pPr>
        <w:rPr>
          <w:rFonts w:hint="eastAsia"/>
        </w:rPr>
      </w:pPr>
      <w:r>
        <w:rPr>
          <w:rFonts w:hint="eastAsia"/>
        </w:rPr>
        <w:t>2017年5年17日，公司股东缴纳土地转让契税2,026,400.00元，印花税25,330.00元。</w:t>
      </w:r>
    </w:p>
    <w:p>
      <w:pPr>
        <w:rPr>
          <w:rFonts w:hint="eastAsia"/>
        </w:rPr>
      </w:pPr>
      <w:r>
        <w:rPr>
          <w:rFonts w:hint="eastAsia"/>
        </w:rPr>
        <w:t>2019年9月27日，公司股东将宗地以作价出资形式投入唐山荣程房地产公司。</w:t>
      </w:r>
    </w:p>
    <w:p>
      <w:pPr>
        <w:rPr>
          <w:rFonts w:hint="eastAsia"/>
        </w:rPr>
      </w:pPr>
      <w:r>
        <w:rPr>
          <w:rFonts w:hint="eastAsia"/>
        </w:rPr>
        <w:t>同年唐山荣程房地产公司已取得宗地《不动产权证书》，取得价税合计金额为5827.10万元的河北增值税普通发票做为土地入账合法凭据。公司已缴纳土地契税2,219,847.62元、印花税14,567.80元。</w:t>
      </w:r>
    </w:p>
    <w:p>
      <w:pPr>
        <w:rPr>
          <w:rFonts w:hint="eastAsia"/>
        </w:rPr>
      </w:pPr>
      <w:r>
        <w:rPr>
          <w:rFonts w:hint="eastAsia"/>
        </w:rPr>
        <w:t>唐山荣程房地产公司国有建设用地未设置其他他项权利。总不动产权证面积48546.65㎡，其中居住用地47042.77㎡。其余为代征道路和代征绿地。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证件情况：</w:t>
      </w:r>
    </w:p>
    <w:p>
      <w:pPr>
        <w:rPr>
          <w:rFonts w:hint="eastAsia"/>
        </w:rPr>
      </w:pPr>
      <w:r>
        <w:rPr>
          <w:rFonts w:hint="eastAsia"/>
        </w:rPr>
        <w:t>《不动产权证》冀（2019）唐山市不动产权第0037035号</w:t>
      </w:r>
    </w:p>
    <w:p>
      <w:pPr>
        <w:rPr>
          <w:rFonts w:hint="eastAsia"/>
        </w:rPr>
      </w:pPr>
      <w:r>
        <w:rPr>
          <w:rFonts w:hint="eastAsia"/>
        </w:rPr>
        <w:t>《建设用地规划许可证》地字第130201201004538号</w:t>
      </w:r>
    </w:p>
    <w:p>
      <w:pPr>
        <w:rPr>
          <w:rFonts w:hint="eastAsia"/>
        </w:rPr>
      </w:pPr>
      <w:r>
        <w:rPr>
          <w:rFonts w:hint="eastAsia"/>
        </w:rPr>
        <w:t>《建设工程规划许可证》建字第130201202100024号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目前三证，融资需求6000-7000万元，期限1年 ，还款来源为销售回款，目前项目土地经评估公司评估总值2.35亿元。</w:t>
      </w:r>
    </w:p>
    <w:p>
      <w:pPr>
        <w:rPr>
          <w:rFonts w:hint="eastAsia"/>
        </w:rPr>
      </w:pPr>
    </w:p>
    <w:p>
      <w:r>
        <w:rPr>
          <w:rFonts w:hint="eastAsia"/>
        </w:rPr>
        <w:t>可提供增信：土地抵押，股权转让回购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3NmMwYzI5M2UzZTNkY2UzNWM4MzhkODQwYzAwMDIifQ=="/>
  </w:docVars>
  <w:rsids>
    <w:rsidRoot w:val="00000000"/>
    <w:rsid w:val="4CCA6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2022-11-09T15:05:23Z</dcterms:created>
  <dc:creator>lenovo</dc:creator>
  <cp:lastModifiedBy>刘宪锋</cp:lastModifiedBy>
  <dcterms:modified xsi:type="dcterms:W3CDTF">2022-11-09T15:05:37Z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C2E1B7CEFA7B4916B4304A30D74D5A19</vt:lpwstr>
  </property>
</Properties>
</file>