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等线" w:hAnsi="等线" w:eastAsia="等线" w:cs="等线"/>
          <w:b/>
          <w:bCs/>
          <w:sz w:val="36"/>
          <w:szCs w:val="32"/>
          <w:lang w:val="en-US" w:eastAsia="zh-CN"/>
        </w:rPr>
      </w:pPr>
      <w:r>
        <w:rPr>
          <w:rFonts w:hint="eastAsia" w:ascii="等线" w:hAnsi="等线" w:eastAsia="等线" w:cs="等线"/>
          <w:b/>
          <w:bCs/>
          <w:sz w:val="36"/>
          <w:szCs w:val="32"/>
        </w:rPr>
        <w:t>中山市孙文东路项目</w:t>
      </w:r>
      <w:r>
        <w:rPr>
          <w:rFonts w:hint="eastAsia" w:ascii="等线" w:hAnsi="等线" w:eastAsia="等线" w:cs="等线"/>
          <w:b/>
          <w:bCs/>
          <w:sz w:val="36"/>
          <w:szCs w:val="32"/>
          <w:lang w:val="en-US" w:eastAsia="zh-CN"/>
        </w:rPr>
        <w:t>介绍</w:t>
      </w:r>
    </w:p>
    <w:p>
      <w:pPr>
        <w:jc w:val="both"/>
        <w:rPr>
          <w:rFonts w:hint="eastAsia" w:ascii="等线" w:hAnsi="等线" w:eastAsia="等线" w:cs="等线"/>
          <w:b/>
          <w:bCs/>
          <w:sz w:val="36"/>
          <w:szCs w:val="32"/>
          <w:lang w:val="en-US" w:eastAsia="zh-CN"/>
        </w:rPr>
      </w:pPr>
      <w:r>
        <w:rPr>
          <w:rFonts w:hint="eastAsia" w:ascii="等线" w:hAnsi="等线" w:eastAsia="等线" w:cs="等线"/>
          <w:b w:val="0"/>
          <w:bCs w:val="0"/>
          <w:sz w:val="28"/>
          <w:szCs w:val="28"/>
          <w:lang w:val="en-US" w:eastAsia="zh-CN"/>
        </w:rPr>
        <w:drawing>
          <wp:inline distT="0" distB="0" distL="114300" distR="114300">
            <wp:extent cx="5269865" cy="5348605"/>
            <wp:effectExtent l="0" t="0" r="6985" b="4445"/>
            <wp:docPr id="2" name="图片 2" descr="未命名167280334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1672803348_副本"/>
                    <pic:cNvPicPr>
                      <a:picLocks noChangeAspect="1"/>
                    </pic:cNvPicPr>
                  </pic:nvPicPr>
                  <pic:blipFill>
                    <a:blip r:embed="rId4"/>
                    <a:stretch>
                      <a:fillRect/>
                    </a:stretch>
                  </pic:blipFill>
                  <pic:spPr>
                    <a:xfrm>
                      <a:off x="0" y="0"/>
                      <a:ext cx="5269865" cy="5348605"/>
                    </a:xfrm>
                    <a:prstGeom prst="rect">
                      <a:avLst/>
                    </a:prstGeom>
                  </pic:spPr>
                </pic:pic>
              </a:graphicData>
            </a:graphic>
          </wp:inline>
        </w:drawing>
      </w:r>
    </w:p>
    <w:p>
      <w:pPr>
        <w:jc w:val="center"/>
        <w:rPr>
          <w:rFonts w:hint="eastAsia" w:ascii="等线" w:hAnsi="等线" w:eastAsia="等线" w:cs="等线"/>
          <w:b/>
          <w:bCs/>
          <w:sz w:val="36"/>
          <w:szCs w:val="32"/>
          <w:lang w:val="en-US" w:eastAsia="zh-CN"/>
        </w:rPr>
      </w:pPr>
    </w:p>
    <w:p>
      <w:pPr>
        <w:numPr>
          <w:ilvl w:val="0"/>
          <w:numId w:val="1"/>
        </w:numPr>
        <w:jc w:val="both"/>
        <w:rPr>
          <w:rFonts w:hint="eastAsia" w:ascii="等线" w:hAnsi="等线" w:eastAsia="等线" w:cs="等线"/>
          <w:b/>
          <w:bCs/>
          <w:sz w:val="28"/>
          <w:szCs w:val="28"/>
          <w:lang w:val="en-US" w:eastAsia="zh-CN"/>
        </w:rPr>
      </w:pPr>
      <w:r>
        <w:rPr>
          <w:rFonts w:hint="eastAsia" w:ascii="等线" w:hAnsi="等线" w:eastAsia="等线" w:cs="等线"/>
          <w:b/>
          <w:bCs/>
          <w:sz w:val="28"/>
          <w:szCs w:val="28"/>
          <w:lang w:val="en-US" w:eastAsia="zh-CN"/>
        </w:rPr>
        <w:t>项目区位及概况</w:t>
      </w:r>
    </w:p>
    <w:p>
      <w:pPr>
        <w:numPr>
          <w:ilvl w:val="0"/>
          <w:numId w:val="0"/>
        </w:numPr>
        <w:ind w:firstLine="560"/>
        <w:jc w:val="both"/>
        <w:rPr>
          <w:rFonts w:hint="default" w:ascii="等线" w:hAnsi="等线" w:eastAsia="等线" w:cs="等线"/>
          <w:b w:val="0"/>
          <w:bCs w:val="0"/>
          <w:sz w:val="28"/>
          <w:szCs w:val="28"/>
          <w:lang w:val="en-US" w:eastAsia="zh-CN"/>
        </w:rPr>
      </w:pPr>
      <w:r>
        <w:rPr>
          <w:rFonts w:hint="eastAsia" w:ascii="等线" w:hAnsi="等线" w:eastAsia="等线" w:cs="等线"/>
          <w:b w:val="0"/>
          <w:bCs w:val="0"/>
          <w:sz w:val="28"/>
          <w:szCs w:val="28"/>
          <w:lang w:val="en-US" w:eastAsia="zh-CN"/>
        </w:rPr>
        <w:t>本项目位于中山市东区孙文东路齐东村，孙文东路与银湾南路十</w:t>
      </w:r>
      <w:bookmarkStart w:id="0" w:name="_GoBack"/>
      <w:bookmarkEnd w:id="0"/>
      <w:r>
        <w:rPr>
          <w:rFonts w:hint="eastAsia" w:ascii="等线" w:hAnsi="等线" w:eastAsia="等线" w:cs="等线"/>
          <w:b w:val="0"/>
          <w:bCs w:val="0"/>
          <w:sz w:val="28"/>
          <w:szCs w:val="28"/>
          <w:lang w:val="en-US" w:eastAsia="zh-CN"/>
        </w:rPr>
        <w:t>字路口，地理位置优越，交通便捷，周边教育、商业配套资源齐全。</w:t>
      </w:r>
    </w:p>
    <w:tbl>
      <w:tblPr>
        <w:tblStyle w:val="2"/>
        <w:tblW w:w="7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790"/>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地块位置</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中山市东区孙文东路齐东村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土地性质</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住宅用地（R2)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净用地面积</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16648.60㎡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总建筑面积</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容积率</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r>
              <w:rPr>
                <w:rFonts w:ascii="宋体" w:hAnsi="宋体" w:eastAsia="宋体" w:cs="宋体"/>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建筑密度</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地上建筑面积</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48428.48㎡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611" w:type="dxa"/>
            <w:gridSpan w:val="2"/>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地下建筑面积</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25532.52㎡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21" w:type="dxa"/>
            <w:vMerge w:val="restar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w:t>
            </w:r>
          </w:p>
        </w:tc>
        <w:tc>
          <w:tcPr>
            <w:tcW w:w="2790"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47495.45㎡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1" w:type="dxa"/>
            <w:vMerge w:val="continue"/>
            <w:vAlign w:val="center"/>
          </w:tcPr>
          <w:p>
            <w:pPr>
              <w:widowControl/>
              <w:jc w:val="left"/>
              <w:rPr>
                <w:rFonts w:ascii="宋体" w:hAnsi="宋体" w:eastAsia="宋体" w:cs="宋体"/>
                <w:color w:val="000000"/>
                <w:kern w:val="0"/>
                <w:sz w:val="20"/>
                <w:szCs w:val="20"/>
              </w:rPr>
            </w:pPr>
          </w:p>
        </w:tc>
        <w:tc>
          <w:tcPr>
            <w:tcW w:w="2790"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商业（㎡）</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1" w:type="dxa"/>
            <w:vMerge w:val="continue"/>
            <w:vAlign w:val="center"/>
          </w:tcPr>
          <w:p>
            <w:pPr>
              <w:widowControl/>
              <w:jc w:val="left"/>
              <w:rPr>
                <w:rFonts w:ascii="宋体" w:hAnsi="宋体" w:eastAsia="宋体" w:cs="宋体"/>
                <w:color w:val="000000"/>
                <w:kern w:val="0"/>
                <w:sz w:val="20"/>
                <w:szCs w:val="20"/>
              </w:rPr>
            </w:pPr>
          </w:p>
        </w:tc>
        <w:tc>
          <w:tcPr>
            <w:tcW w:w="2790"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配套用房（㎡）</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1" w:type="dxa"/>
            <w:vMerge w:val="continue"/>
            <w:vAlign w:val="center"/>
          </w:tcPr>
          <w:p>
            <w:pPr>
              <w:widowControl/>
              <w:jc w:val="left"/>
              <w:rPr>
                <w:rFonts w:ascii="宋体" w:hAnsi="宋体" w:eastAsia="宋体" w:cs="宋体"/>
                <w:color w:val="000000"/>
                <w:kern w:val="0"/>
                <w:sz w:val="20"/>
                <w:szCs w:val="20"/>
              </w:rPr>
            </w:pPr>
          </w:p>
        </w:tc>
        <w:tc>
          <w:tcPr>
            <w:tcW w:w="2790" w:type="dxa"/>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小汽车停车位配置（地下）</w:t>
            </w:r>
          </w:p>
        </w:tc>
        <w:tc>
          <w:tcPr>
            <w:tcW w:w="3558" w:type="dxa"/>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385个</w:t>
            </w:r>
          </w:p>
        </w:tc>
      </w:tr>
    </w:tbl>
    <w:p>
      <w:pPr>
        <w:numPr>
          <w:ilvl w:val="0"/>
          <w:numId w:val="0"/>
        </w:numPr>
        <w:ind w:firstLine="560"/>
        <w:jc w:val="both"/>
        <w:rPr>
          <w:rFonts w:hint="eastAsia" w:ascii="等线" w:hAnsi="等线" w:eastAsia="等线" w:cs="等线"/>
          <w:b w:val="0"/>
          <w:bCs w:val="0"/>
          <w:sz w:val="28"/>
          <w:szCs w:val="28"/>
          <w:lang w:val="en-US" w:eastAsia="zh-CN"/>
        </w:rPr>
      </w:pPr>
    </w:p>
    <w:p>
      <w:pPr>
        <w:numPr>
          <w:ilvl w:val="0"/>
          <w:numId w:val="0"/>
        </w:numPr>
        <w:ind w:firstLine="560"/>
        <w:jc w:val="both"/>
        <w:rPr>
          <w:rFonts w:hint="eastAsia" w:ascii="等线" w:hAnsi="等线" w:eastAsia="等线" w:cs="等线"/>
          <w:b w:val="0"/>
          <w:bCs w:val="0"/>
          <w:sz w:val="28"/>
          <w:szCs w:val="28"/>
          <w:lang w:val="en-US" w:eastAsia="zh-CN"/>
        </w:rPr>
      </w:pPr>
      <w:r>
        <w:rPr>
          <w:rFonts w:hint="eastAsia" w:ascii="等线" w:hAnsi="等线" w:eastAsia="等线" w:cs="等线"/>
          <w:b w:val="0"/>
          <w:bCs w:val="0"/>
          <w:sz w:val="28"/>
          <w:szCs w:val="28"/>
          <w:lang w:val="en-US" w:eastAsia="zh-CN"/>
        </w:rPr>
        <w:t>本项目包含三个地块，地块一、地块二由中山市宁邦英联置业有限公司持有，已取得权证编号为中府国用（2008）第易210668和中府国用（2011）第210D780；地块三在其他公司名下，英联置业计划收购合并。因政府规划调整，修建银湾南路，占用地块一、地块二部分面积，英联置业已与政府协商一致，同意地块一、地块二以及地块三调整土地面积、容积率（2.91）后换发新证，地块一、地块二需向政府补缴出让金1.62亿元，地块三收购金额0.3亿元，土地支出金额合计1.92亿元。</w:t>
      </w:r>
    </w:p>
    <w:p>
      <w:pPr>
        <w:numPr>
          <w:ilvl w:val="0"/>
          <w:numId w:val="0"/>
        </w:numPr>
        <w:ind w:firstLine="560"/>
        <w:jc w:val="both"/>
        <w:rPr>
          <w:rFonts w:hint="default" w:ascii="等线" w:hAnsi="等线" w:eastAsia="等线" w:cs="等线"/>
          <w:b w:val="0"/>
          <w:bCs w:val="0"/>
          <w:sz w:val="28"/>
          <w:szCs w:val="28"/>
          <w:lang w:val="en-US" w:eastAsia="zh-CN"/>
        </w:rPr>
      </w:pPr>
    </w:p>
    <w:p>
      <w:pPr>
        <w:numPr>
          <w:ilvl w:val="0"/>
          <w:numId w:val="1"/>
        </w:numPr>
        <w:jc w:val="both"/>
        <w:rPr>
          <w:rFonts w:hint="default" w:ascii="等线" w:hAnsi="等线" w:eastAsia="等线" w:cs="等线"/>
          <w:b/>
          <w:bCs/>
          <w:sz w:val="28"/>
          <w:szCs w:val="28"/>
          <w:lang w:val="en-US" w:eastAsia="zh-CN"/>
        </w:rPr>
      </w:pPr>
      <w:r>
        <w:rPr>
          <w:rFonts w:hint="eastAsia" w:ascii="等线" w:hAnsi="等线" w:eastAsia="等线" w:cs="等线"/>
          <w:b/>
          <w:bCs/>
          <w:sz w:val="28"/>
          <w:szCs w:val="28"/>
          <w:lang w:val="en-US" w:eastAsia="zh-CN"/>
        </w:rPr>
        <w:t>开发主体介绍</w:t>
      </w:r>
    </w:p>
    <w:p>
      <w:pPr>
        <w:numPr>
          <w:ilvl w:val="0"/>
          <w:numId w:val="0"/>
        </w:numPr>
        <w:ind w:firstLine="560"/>
        <w:jc w:val="both"/>
        <w:rPr>
          <w:rFonts w:hint="eastAsia" w:ascii="等线" w:hAnsi="等线" w:eastAsia="等线" w:cs="等线"/>
          <w:b w:val="0"/>
          <w:bCs w:val="0"/>
          <w:sz w:val="28"/>
          <w:szCs w:val="28"/>
          <w:lang w:val="en-US" w:eastAsia="zh-CN"/>
        </w:rPr>
      </w:pPr>
      <w:r>
        <w:rPr>
          <w:rFonts w:hint="eastAsia" w:ascii="等线" w:hAnsi="等线" w:eastAsia="等线" w:cs="等线"/>
          <w:b w:val="0"/>
          <w:bCs w:val="0"/>
          <w:sz w:val="28"/>
          <w:szCs w:val="28"/>
          <w:lang w:val="en-US" w:eastAsia="zh-CN"/>
        </w:rPr>
        <w:t>北京城建北方集团有限公司拟与中山市宁邦英联置业有限公司合作开发本项目，借助城建北方专业的房地产开发全流程管理经验。由城建北方与英联置业股东方在中山市成立区域投资公司，区域投资公司全资控股英联置业，共同出资开发建设。</w:t>
      </w:r>
    </w:p>
    <w:p>
      <w:pPr>
        <w:numPr>
          <w:ilvl w:val="0"/>
          <w:numId w:val="0"/>
        </w:numPr>
        <w:ind w:firstLine="560"/>
        <w:jc w:val="both"/>
        <w:rPr>
          <w:rFonts w:hint="default" w:ascii="等线" w:hAnsi="等线" w:eastAsia="等线" w:cs="等线"/>
          <w:b w:val="0"/>
          <w:bCs w:val="0"/>
          <w:sz w:val="28"/>
          <w:szCs w:val="28"/>
          <w:lang w:val="en-US" w:eastAsia="zh-CN"/>
        </w:rPr>
      </w:pPr>
      <w:r>
        <w:rPr>
          <w:rFonts w:hint="default" w:ascii="等线" w:hAnsi="等线" w:eastAsia="等线" w:cs="等线"/>
          <w:b w:val="0"/>
          <w:bCs w:val="0"/>
          <w:sz w:val="28"/>
          <w:szCs w:val="28"/>
          <w:lang w:val="en-US" w:eastAsia="zh-CN"/>
        </w:rPr>
        <w:t xml:space="preserve">北京城建北方集团(以下简称集团)是具有“国匠”美誉的北京城建集团旗下的优秀成员企业，成立于2002年，目前为集工程总承包、房地产开发和资本运作于一体的大型建设企业集团。 </w:t>
      </w:r>
    </w:p>
    <w:p>
      <w:pPr>
        <w:numPr>
          <w:ilvl w:val="0"/>
          <w:numId w:val="0"/>
        </w:numPr>
        <w:ind w:firstLine="560"/>
        <w:jc w:val="both"/>
        <w:rPr>
          <w:rFonts w:hint="default" w:ascii="等线" w:hAnsi="等线" w:eastAsia="等线" w:cs="等线"/>
          <w:b w:val="0"/>
          <w:bCs w:val="0"/>
          <w:sz w:val="28"/>
          <w:szCs w:val="28"/>
          <w:lang w:val="en-US" w:eastAsia="zh-CN"/>
        </w:rPr>
      </w:pPr>
      <w:r>
        <w:rPr>
          <w:rFonts w:hint="default" w:ascii="等线" w:hAnsi="等线" w:eastAsia="等线" w:cs="等线"/>
          <w:b w:val="0"/>
          <w:bCs w:val="0"/>
          <w:sz w:val="28"/>
          <w:szCs w:val="28"/>
          <w:lang w:val="en-US" w:eastAsia="zh-CN"/>
        </w:rPr>
        <w:t>企业拥有建筑工程施工总承包特级，</w:t>
      </w:r>
      <w:r>
        <w:rPr>
          <w:rFonts w:hint="eastAsia" w:ascii="等线" w:hAnsi="等线" w:eastAsia="等线" w:cs="等线"/>
          <w:b w:val="0"/>
          <w:bCs w:val="0"/>
          <w:sz w:val="28"/>
          <w:szCs w:val="28"/>
          <w:lang w:val="en-US" w:eastAsia="zh-CN"/>
        </w:rPr>
        <w:t>房地产开发资质一级，</w:t>
      </w:r>
      <w:r>
        <w:rPr>
          <w:rFonts w:hint="default" w:ascii="等线" w:hAnsi="等线" w:eastAsia="等线" w:cs="等线"/>
          <w:b w:val="0"/>
          <w:bCs w:val="0"/>
          <w:sz w:val="28"/>
          <w:szCs w:val="28"/>
          <w:lang w:val="en-US" w:eastAsia="zh-CN"/>
        </w:rPr>
        <w:t>机电工程施工总承包一级，市政公用工程施工总承包一级，建筑装修装饰工程专业承包一级，钢结构工程专业承包一级，地基基础工程专业承包一级;建筑工程、人防工程甲级，建筑装饰工程设计专项甲级以及对外经济合作经营资格等多项专业资质，并已形成覆盖装饰、幕墙、钢结构、机电设备安装、市政轨道等全产业链条的领先优势，为客户不断提供品质高端、专业精细的服务。</w:t>
      </w:r>
    </w:p>
    <w:p>
      <w:pPr>
        <w:numPr>
          <w:ilvl w:val="0"/>
          <w:numId w:val="0"/>
        </w:numPr>
        <w:ind w:firstLine="560"/>
        <w:jc w:val="both"/>
        <w:rPr>
          <w:rFonts w:hint="default" w:ascii="等线" w:hAnsi="等线" w:eastAsia="等线" w:cs="等线"/>
          <w:b w:val="0"/>
          <w:bCs w:val="0"/>
          <w:sz w:val="28"/>
          <w:szCs w:val="28"/>
          <w:lang w:val="en-US" w:eastAsia="zh-CN"/>
        </w:rPr>
      </w:pPr>
      <w:r>
        <w:rPr>
          <w:rFonts w:hint="default" w:ascii="等线" w:hAnsi="等线" w:eastAsia="等线" w:cs="等线"/>
          <w:b w:val="0"/>
          <w:bCs w:val="0"/>
          <w:sz w:val="28"/>
          <w:szCs w:val="28"/>
          <w:lang w:val="en-US" w:eastAsia="zh-CN"/>
        </w:rPr>
        <w:t>企业注册资本金5.1亿元人民币，银行资信</w:t>
      </w:r>
      <w:r>
        <w:rPr>
          <w:rFonts w:hint="eastAsia" w:ascii="等线" w:hAnsi="等线" w:eastAsia="等线" w:cs="等线"/>
          <w:b w:val="0"/>
          <w:bCs w:val="0"/>
          <w:sz w:val="28"/>
          <w:szCs w:val="28"/>
          <w:lang w:val="en-US" w:eastAsia="zh-CN"/>
        </w:rPr>
        <w:t>AA+</w:t>
      </w:r>
      <w:r>
        <w:rPr>
          <w:rFonts w:hint="default" w:ascii="等线" w:hAnsi="等线" w:eastAsia="等线" w:cs="等线"/>
          <w:b w:val="0"/>
          <w:bCs w:val="0"/>
          <w:sz w:val="28"/>
          <w:szCs w:val="28"/>
          <w:lang w:val="en-US" w:eastAsia="zh-CN"/>
        </w:rPr>
        <w:t>级、质量资质3A级、全国建筑业信用3A级企业，先后荣获中国建筑业成长性200强、中国工程建设安全质量标准化先进单位、全国贯彻实施建筑施工安全标准示范单位、首都文明单位、首都劳动奖状等光荣称号，获评国家级高新技术企业，北京市技术研发中心，在北京市300余家特级企业信誉排名中名列前茅。</w:t>
      </w:r>
    </w:p>
    <w:p>
      <w:pPr>
        <w:numPr>
          <w:numId w:val="0"/>
        </w:numPr>
        <w:jc w:val="both"/>
        <w:rPr>
          <w:rFonts w:hint="default" w:ascii="等线" w:hAnsi="等线" w:eastAsia="等线" w:cs="等线"/>
          <w:b w:val="0"/>
          <w:bCs w:val="0"/>
          <w:sz w:val="28"/>
          <w:szCs w:val="28"/>
          <w:lang w:val="en-US" w:eastAsia="zh-CN"/>
        </w:rPr>
      </w:pPr>
      <w:r>
        <w:rPr>
          <w:rFonts w:hint="eastAsia" w:ascii="等线" w:hAnsi="等线" w:eastAsia="等线" w:cs="等线"/>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37432"/>
    <w:multiLevelType w:val="singleLevel"/>
    <w:tmpl w:val="E36374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mFjZDFmMTIzNDNjM2ExMGVhZjAwZjJlYjYzOTkifQ=="/>
  </w:docVars>
  <w:rsids>
    <w:rsidRoot w:val="00000000"/>
    <w:rsid w:val="1E7801EB"/>
    <w:rsid w:val="7977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2022-12-19T06:08:00Z</dcterms:created>
  <dc:creator>Administrator</dc:creator>
  <cp:lastModifiedBy>崔凯</cp:lastModifiedBy>
  <dcterms:modified xsi:type="dcterms:W3CDTF">2023-01-04T03:58:52Z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1643C758326143F3AC7F16F2054A387D</vt:lpwstr>
  </property>
</Properties>
</file>