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复星底价摘得科教新城欧洲风情特色商业街地块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sz w:val="9"/>
          <w:szCs w:val="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sz w:val="9"/>
          <w:szCs w:val="9"/>
          <w:bdr w:val="none" w:color="auto" w:sz="0" w:space="0"/>
        </w:rPr>
        <w:t>太仓房天下   2018-07-23 10:32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6666"/>
          <w:spacing w:val="0"/>
          <w:sz w:val="12"/>
          <w:szCs w:val="12"/>
          <w:bdr w:val="none" w:color="auto" w:sz="0" w:space="0"/>
        </w:rPr>
        <w:t>[摘要]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</w:rPr>
        <w:t> 今天上午9点, 科教新城14宗地块开始拍卖，出让总面积为336464.7平方米（约504.7亩），起拍总价近16亿,其中科教新城14-1地块因无人出价而流拍, 该地块内将建造大型水上综合游乐设施，14-2地块被复星集团以总价10.9亿底价成交,将建造欧洲风情特色商业街、幼儿园等。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今天上午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,</w:t>
      </w:r>
      <w:r>
        <w:rPr>
          <w:rFonts w:ascii="Calibri" w:hAnsi="Calibri" w:eastAsia="微软雅黑" w:cs="Calibri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科教新城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shd w:val="clear" w:fill="FFFFFF"/>
          <w:lang w:val="en-US"/>
        </w:rPr>
        <w:t>14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"https://baike.fang.com/item/%E5%AE%97%E5%9C%B0/2043504"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宗地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块开始拍卖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，出让总面积为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shd w:val="clear" w:fill="FFFFFF"/>
          <w:lang w:val="en-US"/>
        </w:rPr>
        <w:t>336464.7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平方米（约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shd w:val="clear" w:fill="FFFFFF"/>
          <w:lang w:val="en-US"/>
        </w:rPr>
        <w:t>504.7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亩），起拍总价近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shd w:val="clear" w:fill="FFFFFF"/>
          <w:lang w:val="en-US"/>
        </w:rPr>
        <w:t>16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其中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lang w:val="en-US"/>
        </w:rPr>
        <w:t>科教新城14-1地块因无人出价而流拍, 该地块内将建造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6827"/>
          <w:spacing w:val="0"/>
          <w:sz w:val="21"/>
          <w:szCs w:val="21"/>
          <w:bdr w:val="none" w:color="auto" w:sz="0" w:space="0"/>
          <w:shd w:val="clear" w:fill="FFFFFF"/>
          <w:lang w:val="en-US"/>
        </w:rPr>
        <w:t>大型水上综合游乐设施，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2941"/>
          <w:spacing w:val="0"/>
          <w:sz w:val="20"/>
          <w:szCs w:val="20"/>
          <w:bdr w:val="none" w:color="auto" w:sz="0" w:space="0"/>
          <w:shd w:val="clear" w:fill="FFFFFF"/>
          <w:lang w:val="en-US"/>
        </w:rPr>
        <w:t>14-2地块被复星集团以总价10.9亿底价成交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,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6827"/>
          <w:spacing w:val="0"/>
          <w:sz w:val="21"/>
          <w:szCs w:val="21"/>
          <w:bdr w:val="none" w:color="auto" w:sz="0" w:space="0"/>
        </w:rPr>
        <w:t>将建造欧洲风情特色商业街、幼儿园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drawing>
          <wp:inline distT="0" distB="0" distL="114300" distR="114300">
            <wp:extent cx="5911850" cy="3435985"/>
            <wp:effectExtent l="0" t="0" r="317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drawing>
          <wp:inline distT="0" distB="0" distL="114300" distR="114300">
            <wp:extent cx="6002020" cy="3400425"/>
            <wp:effectExtent l="0" t="0" r="825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drawing>
          <wp:inline distT="0" distB="0" distL="114300" distR="114300">
            <wp:extent cx="5944870" cy="3283585"/>
            <wp:effectExtent l="0" t="0" r="8255" b="254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t>成交结果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5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drawing>
          <wp:inline distT="0" distB="0" distL="114300" distR="114300">
            <wp:extent cx="3432175" cy="2287905"/>
            <wp:effectExtent l="0" t="0" r="6350" b="7620"/>
            <wp:docPr id="2" name="图片 4" descr="IMG_25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4" w:beforeAutospacing="0" w:after="226" w:afterAutospacing="0" w:line="135" w:lineRule="atLeast"/>
        <w:ind w:left="0" w:right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instrText xml:space="preserve"> HYPERLINK "https://tc.newhouse.fang.com/loupan/1828115022.htm" \t "https://tc.news.fang.com/2018-07-23/_blank"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浙通名力·桃花源雅园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  <w:r>
        <w:rPr>
          <w:rStyle w:val="9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DF2F30"/>
          <w:spacing w:val="0"/>
          <w:sz w:val="21"/>
          <w:szCs w:val="21"/>
          <w:bdr w:val="none" w:color="auto" w:sz="0" w:space="0"/>
        </w:rPr>
        <w:t>4.03分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143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太仓市人民路与宁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波路交汇处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143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4008132766 转 618462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8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7F7"/>
          <w:lang w:val="en-US" w:eastAsia="zh-CN" w:bidi="ar"/>
        </w:rPr>
        <w:t>在售住宅新区品牌地产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6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领10000元抵用券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4B5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4B5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"https://tc.newhouse.fang.com/loupan/1828115022.htm"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4B5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4B5"/>
          <w:spacing w:val="0"/>
          <w:sz w:val="21"/>
          <w:szCs w:val="21"/>
          <w:u w:val="none"/>
          <w:bdr w:val="none" w:color="auto" w:sz="0" w:space="0"/>
        </w:rPr>
        <w:t>立即报名&gt;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4B5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DF2F3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DF2F3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16900元/平方米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FFFF"/>
          <w:spacing w:val="0"/>
          <w:kern w:val="0"/>
          <w:sz w:val="21"/>
          <w:szCs w:val="21"/>
          <w:u w:val="none"/>
          <w:bdr w:val="single" w:color="E12C28" w:sz="2" w:space="0"/>
          <w:shd w:val="clear" w:fill="DF2F30"/>
          <w:lang w:val="en-US" w:eastAsia="zh-CN" w:bidi="ar"/>
        </w:rPr>
        <w:t>在线咨询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收藏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该地块位于太仓市科教新城板块，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紧邻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</w:rPr>
        <w:t>沪通高铁太仓南站，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instrText xml:space="preserve"> HYPERLINK "https://baike.fang.com/item/%E9%85%8D%E5%A5%97/2043375"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t>配套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方面，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lang w:val="en-US"/>
        </w:rPr>
        <w:t>区域内有天镜湖公园，环境资源优越，有天镜湖商业广场商业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instrText xml:space="preserve"> HYPERLINK "https://baike.fang.com/item/%E9%85%8D%E5%A5%97/2043375"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t>配套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lang w:val="en-US"/>
        </w:rPr>
        <w:t>；有科教新城社区卫生服务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lang w:val="en-US"/>
        </w:rPr>
        <w:t>等医疗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instrText xml:space="preserve"> HYPERLINK "https://baike.fang.com/item/%E9%85%8D%E5%A5%97/2043375"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t>配套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8" w:space="0"/>
          <w:lang w:val="en-US"/>
        </w:rPr>
        <w:t>；有南郊幼儿园、科教新城小学、良辅中学、太仓高级中学等配套。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2018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14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,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复星集团以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6.4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亿元的底价摘得科教新城两幅地块，根据出让要求，地块将建设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lang w:val="en-US"/>
        </w:rPr>
        <w:instrText xml:space="preserve"> HYPERLINK "https://www.fang.com/juhe/81/" \o "建筑面积"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lang w:val="en-US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lang w:val="en-US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instrText xml:space="preserve"> HYPERLINK "https://baike.fang.com/item/%E5%BB%BA%E7%AD%91%E9%9D%A2%E7%A7%AF/5950359"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t>建筑面积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lang w:val="en-US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30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万平方米的室内冰雪世界、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"https://baike.fang.com/item/%E5%BB%BA%E7%AD%91%E9%9D%A2%E7%A7%AF/5950359" \t "https://tc.news.fang.com/2018-07-23/_blank"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建筑面积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万平方米的五星级酒店等相关物业。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至今复星集团在太仓科教新城已摘得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328308.1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(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492.5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的地块。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drawing>
          <wp:inline distT="0" distB="0" distL="114300" distR="114300">
            <wp:extent cx="5647690" cy="4616450"/>
            <wp:effectExtent l="0" t="0" r="635" b="317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461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drawing>
          <wp:inline distT="0" distB="0" distL="114300" distR="114300">
            <wp:extent cx="6329680" cy="5302250"/>
            <wp:effectExtent l="0" t="0" r="4445" b="3175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9680" cy="530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</w:rPr>
        <w:t>复星集团太仓地块区位图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8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2017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14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日复兴集团和太仓签约的协议来看，复星地中海欧洲风情小镇项目（太仓）项目总投资额约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400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亿元！项目建设内容将主要包括室内冰雪世界、水上主题公园、欧洲风情小镇、地中海俱乐部酒店、精品主题酒店、会展中心、演艺娱乐、湿地主题农庄、门德斯体育运动公园、国际教育、亲子俱乐部等综合性旅游目的地业态。水上乐园辐射范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100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公里，建成后将实现游客量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500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万人次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1D9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hyperlink" Target="https://tc.newhouse.fang.com/loupan/1828115022.htm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2023-11-01T08:06:22Z</dcterms:created>
  <dc:creator>lenovo</dc:creator>
  <cp:lastModifiedBy>刘宪锋</cp:lastModifiedBy>
  <dcterms:modified xsi:type="dcterms:W3CDTF">2023-11-01T08:08:35Z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089610094DEB45A0B839C36816DA8700_12</vt:lpwstr>
  </property>
</Properties>
</file>