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pPr>
      <w:r>
        <w:t>冠利园城市更新单元项目中标公告</w:t>
      </w:r>
    </w:p>
    <w:p>
      <w:pPr>
        <w:rPr/>
      </w:pPr>
      <w:r>
        <w:rPr>
          <w:lang w:val="en-US" w:eastAsia="zh-CN"/>
        </w:rPr>
        <w:fldChar w:fldCharType="begin"/>
      </w:r>
      <w:r>
        <w:rPr>
          <w:lang w:val="en-US" w:eastAsia="zh-CN"/>
        </w:rPr>
        <w:instrText xml:space="preserve"> HYPERLINK "javascript:void(0);" </w:instrText>
      </w:r>
      <w:r>
        <w:rPr>
          <w:lang w:val="en-US" w:eastAsia="zh-CN"/>
        </w:rPr>
        <w:fldChar w:fldCharType="separate"/>
      </w:r>
      <w:r>
        <w:t>深圳淘房荟</w:t>
      </w:r>
      <w:r>
        <w:rPr>
          <w:lang w:val="en-US" w:eastAsia="zh-CN"/>
        </w:rPr>
        <w:fldChar w:fldCharType="end"/>
      </w:r>
      <w:r>
        <w:rPr>
          <w:lang w:val="en-US" w:eastAsia="zh-CN"/>
        </w:rPr>
        <w:t> 2021-06-12 15:25</w:t>
      </w:r>
    </w:p>
    <w:p>
      <w:pPr>
        <w:rPr/>
      </w:pPr>
      <w:r>
        <w:t>宝安区石岩街道冠利园城市更新单元已列入</w:t>
      </w:r>
      <w:r>
        <w:rPr>
          <w:rFonts w:hint="eastAsia"/>
        </w:rPr>
        <w:t>《2011年深圳市城市更新单元规划制定计划第三批计划》。</w:t>
      </w:r>
    </w:p>
    <w:p>
      <w:pPr>
        <w:rPr/>
      </w:pPr>
    </w:p>
    <w:p>
      <w:pPr>
        <w:rPr/>
      </w:pPr>
      <w:r>
        <w:rPr>
          <w:rFonts w:hint="eastAsia"/>
        </w:rPr>
        <w:t>项目位于宝安区石岩街道创业路与龙祥路交汇处东南侧。</w:t>
      </w:r>
    </w:p>
    <w:p>
      <w:pPr>
        <w:rPr/>
      </w:pPr>
      <w:r>
        <w:t> </w:t>
      </w:r>
      <w:bookmarkStart w:id="0" w:name="_GoBack"/>
      <w:r>
        <w:rPr/>
        <w:drawing>
          <wp:inline distT="0" distB="0" distL="114300" distR="114300">
            <wp:extent cx="5240020" cy="4129405"/>
            <wp:effectExtent l="0" t="0" r="17780" b="444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4"/>
                    <a:stretch>
                      <a:fillRect/>
                    </a:stretch>
                  </pic:blipFill>
                  <pic:spPr>
                    <a:xfrm>
                      <a:off x="0" y="0"/>
                      <a:ext cx="5240020" cy="4129405"/>
                    </a:xfrm>
                    <a:prstGeom prst="rect">
                      <a:avLst/>
                    </a:prstGeom>
                    <a:noFill/>
                    <a:ln w="9525">
                      <a:noFill/>
                    </a:ln>
                  </pic:spPr>
                </pic:pic>
              </a:graphicData>
            </a:graphic>
          </wp:inline>
        </w:drawing>
      </w:r>
      <w:bookmarkEnd w:id="0"/>
    </w:p>
    <w:p>
      <w:pPr>
        <w:rPr/>
      </w:pPr>
    </w:p>
    <w:p>
      <w:pPr>
        <w:rPr/>
      </w:pPr>
      <w:r>
        <w:rPr>
          <w:rFonts w:hint="eastAsia"/>
        </w:rPr>
        <w:t>更新单元用地面积63415.7㎡，拆除范围用地面积61009.3㎡，开发建设用地面积37999.8㎡，规划容积为234814㎡，规划容积率6.18。</w:t>
      </w:r>
    </w:p>
    <w:p>
      <w:pPr>
        <w:rPr/>
      </w:pPr>
      <w:r>
        <w:rPr/>
        <w:drawing>
          <wp:inline distT="0" distB="0" distL="114300" distR="114300">
            <wp:extent cx="5330825" cy="4425950"/>
            <wp:effectExtent l="0" t="0" r="3175" b="12700"/>
            <wp:docPr id="5"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7"/>
                    <pic:cNvPicPr>
                      <a:picLocks noChangeAspect="1"/>
                    </pic:cNvPicPr>
                  </pic:nvPicPr>
                  <pic:blipFill>
                    <a:blip r:embed="rId5"/>
                    <a:stretch>
                      <a:fillRect/>
                    </a:stretch>
                  </pic:blipFill>
                  <pic:spPr>
                    <a:xfrm>
                      <a:off x="0" y="0"/>
                      <a:ext cx="5330825" cy="4425950"/>
                    </a:xfrm>
                    <a:prstGeom prst="rect">
                      <a:avLst/>
                    </a:prstGeom>
                    <a:noFill/>
                    <a:ln w="9525">
                      <a:noFill/>
                    </a:ln>
                  </pic:spPr>
                </pic:pic>
              </a:graphicData>
            </a:graphic>
          </wp:inline>
        </w:drawing>
      </w:r>
    </w:p>
    <w:p>
      <w:pPr>
        <w:rPr/>
      </w:pPr>
      <w:r>
        <w:rPr>
          <w:rFonts w:hint="eastAsia"/>
        </w:rPr>
        <w:t>其中：住宅158735㎡(含保障性住房44320㎡)，商业、办公及旅馆业建筑61169㎡(含酒店20000㎡)，公共配套设施(含地下)14910㎡(含12班幼儿园建筑3960㎡、占地面积3600㎡，社区老年人日间照料中心800㎡、社区健康服务中心2800㎡、便民服务站800㎡、社区管理用房600㎡、文化活动室1500㎡、地下公共充电站1200㎡、社区体育活动场地1500㎡(不计容)、社区级公共配套用房3250㎡)。</w:t>
      </w:r>
    </w:p>
    <w:p>
      <w:pPr>
        <w:rPr/>
      </w:pPr>
      <w:r>
        <w:rPr/>
        <w:drawing>
          <wp:inline distT="0" distB="0" distL="114300" distR="114300">
            <wp:extent cx="5259070" cy="4436745"/>
            <wp:effectExtent l="0" t="0" r="17780" b="1905"/>
            <wp:docPr id="8"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8"/>
                    <pic:cNvPicPr>
                      <a:picLocks noChangeAspect="1"/>
                    </pic:cNvPicPr>
                  </pic:nvPicPr>
                  <pic:blipFill>
                    <a:blip r:embed="rId6"/>
                    <a:stretch>
                      <a:fillRect/>
                    </a:stretch>
                  </pic:blipFill>
                  <pic:spPr>
                    <a:xfrm>
                      <a:off x="0" y="0"/>
                      <a:ext cx="5259070" cy="4436745"/>
                    </a:xfrm>
                    <a:prstGeom prst="rect">
                      <a:avLst/>
                    </a:prstGeom>
                    <a:noFill/>
                    <a:ln w="9525">
                      <a:noFill/>
                    </a:ln>
                  </pic:spPr>
                </pic:pic>
              </a:graphicData>
            </a:graphic>
          </wp:inline>
        </w:drawing>
      </w:r>
    </w:p>
    <w:p>
      <w:pPr>
        <w:rPr/>
      </w:pPr>
    </w:p>
    <w:p>
      <w:pPr>
        <w:rPr/>
      </w:pPr>
      <w:r>
        <w:t>2021年6月11日，由深圳市罗租股份合作公司申报的深圳市宝安区石岩街道冠利园城市更新项目(项目编号：BACG2021168351）以公开招标方式进行交易，经评审委员会评审及深圳市罗租股份合作公司民主决策，现将交易结果公示如下：</w:t>
      </w:r>
    </w:p>
    <w:p>
      <w:pPr>
        <w:rPr/>
      </w:pPr>
    </w:p>
    <w:p>
      <w:pPr>
        <w:rPr/>
      </w:pPr>
      <w:r>
        <w:t>中标方案：</w:t>
      </w:r>
    </w:p>
    <w:p>
      <w:pPr>
        <w:rPr/>
      </w:pPr>
      <w:r>
        <w:drawing>
          <wp:inline distT="0" distB="0" distL="114300" distR="114300">
            <wp:extent cx="5342255" cy="1226820"/>
            <wp:effectExtent l="0" t="0" r="10795" b="11430"/>
            <wp:docPr id="7"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9"/>
                    <pic:cNvPicPr>
                      <a:picLocks noChangeAspect="1"/>
                    </pic:cNvPicPr>
                  </pic:nvPicPr>
                  <pic:blipFill>
                    <a:blip r:embed="rId7"/>
                    <a:stretch>
                      <a:fillRect/>
                    </a:stretch>
                  </pic:blipFill>
                  <pic:spPr>
                    <a:xfrm>
                      <a:off x="0" y="0"/>
                      <a:ext cx="5342255" cy="1226820"/>
                    </a:xfrm>
                    <a:prstGeom prst="rect">
                      <a:avLst/>
                    </a:prstGeom>
                    <a:noFill/>
                    <a:ln w="9525">
                      <a:noFill/>
                    </a:ln>
                  </pic:spPr>
                </pic:pic>
              </a:graphicData>
            </a:graphic>
          </wp:inline>
        </w:drawing>
      </w:r>
    </w:p>
    <w:p>
      <w:pPr>
        <w:rPr/>
      </w:pPr>
    </w:p>
    <w:p>
      <w:pPr>
        <w:rPr/>
      </w:pPr>
      <w:r>
        <w:t>中标人信息：</w:t>
      </w:r>
    </w:p>
    <w:p>
      <w:pPr>
        <w:rPr/>
      </w:pPr>
      <w:r>
        <w:rPr>
          <w:rFonts w:hint="eastAsia"/>
        </w:rPr>
        <w:t>深圳冠利达实业有限公司</w:t>
      </w:r>
      <w:r>
        <w:t>是综合性集团公司，旗下业务涉及多个板块（房地产、教育学校、香精香料、工业产品、海洋农业养殖、食品加工，快速消费品营销等），其中下属的香精香料公司为香港上市公司。另旗下的广东冠利海洋生物有限公司总投资三亿元，是广东省重点农业龙头企业，华南地区乃至全中国最大的海水虾类养殖企业。</w:t>
      </w:r>
    </w:p>
    <w:p>
      <w:pP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DNjNjU4ZmI2MjA4NWIxN2EwZjg1NGRlN2U4OGQifQ=="/>
  </w:docVars>
  <w:rsids>
    <w:rsidRoot w:val="183A5EA0"/>
    <w:rsid w:val="183A5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2023-09-01T05:48:00Z</dcterms:created>
  <dc:creator>陈思彤</dc:creator>
  <cp:lastModifiedBy>陈思彤</cp:lastModifiedBy>
  <dcterms:modified xsi:type="dcterms:W3CDTF">2023-09-01T05:49:51Z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C37A2E806EB948329A3552C4368E8A60_11</vt:lpwstr>
  </property>
</Properties>
</file>