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项目概括、优势及团队介绍</w:t>
      </w:r>
    </w:p>
    <w:p>
      <w:pPr>
        <w:pStyle w:val="2"/>
        <w:rPr>
          <w:sz w:val="28"/>
          <w:szCs w:val="28"/>
        </w:rPr>
      </w:pPr>
      <w:r>
        <w:rPr>
          <w:rFonts w:hint="eastAsia"/>
          <w:sz w:val="28"/>
          <w:szCs w:val="28"/>
        </w:rPr>
        <w:t>1项目概况</w:t>
      </w:r>
    </w:p>
    <w:p>
      <w:pPr>
        <w:numPr>
          <w:ilvl w:val="0"/>
          <w:numId w:val="1"/>
        </w:numPr>
        <w:rPr>
          <w:sz w:val="28"/>
          <w:szCs w:val="28"/>
        </w:rPr>
      </w:pPr>
      <w:r>
        <w:rPr>
          <w:rFonts w:hint="eastAsia"/>
          <w:sz w:val="28"/>
          <w:szCs w:val="28"/>
        </w:rPr>
        <w:t>项目地处廊坊市安次区高新技术开发区，</w:t>
      </w:r>
      <w:r>
        <w:rPr>
          <w:sz w:val="28"/>
          <w:szCs w:val="28"/>
        </w:rPr>
        <w:t>60</w:t>
      </w:r>
      <w:r>
        <w:rPr>
          <w:rFonts w:hint="eastAsia"/>
          <w:sz w:val="28"/>
          <w:szCs w:val="28"/>
        </w:rPr>
        <w:t>亩工业用地，</w:t>
      </w:r>
      <w:r>
        <w:rPr>
          <w:sz w:val="28"/>
          <w:szCs w:val="28"/>
        </w:rPr>
        <w:t>7.8</w:t>
      </w:r>
      <w:r>
        <w:rPr>
          <w:rFonts w:hint="eastAsia"/>
          <w:sz w:val="28"/>
          <w:szCs w:val="28"/>
        </w:rPr>
        <w:t>万㎡的算力中心，共</w:t>
      </w:r>
      <w:r>
        <w:rPr>
          <w:sz w:val="28"/>
          <w:szCs w:val="28"/>
        </w:rPr>
        <w:t>3</w:t>
      </w:r>
      <w:r>
        <w:rPr>
          <w:rFonts w:hint="eastAsia"/>
          <w:sz w:val="28"/>
          <w:szCs w:val="28"/>
        </w:rPr>
        <w:t>栋楼，每栋楼建筑面积</w:t>
      </w:r>
      <w:r>
        <w:rPr>
          <w:sz w:val="28"/>
          <w:szCs w:val="28"/>
        </w:rPr>
        <w:t>2.6</w:t>
      </w:r>
      <w:r>
        <w:rPr>
          <w:rFonts w:hint="eastAsia"/>
          <w:sz w:val="28"/>
          <w:szCs w:val="28"/>
        </w:rPr>
        <w:t>万㎡。能评</w:t>
      </w:r>
      <w:r>
        <w:rPr>
          <w:sz w:val="28"/>
          <w:szCs w:val="28"/>
        </w:rPr>
        <w:t>4.85</w:t>
      </w:r>
      <w:r>
        <w:rPr>
          <w:rFonts w:hint="eastAsia"/>
          <w:sz w:val="28"/>
          <w:szCs w:val="28"/>
        </w:rPr>
        <w:t>万吨标准煤，供电方案为双路满负荷</w:t>
      </w:r>
      <w:r>
        <w:rPr>
          <w:sz w:val="28"/>
          <w:szCs w:val="28"/>
        </w:rPr>
        <w:t>(10</w:t>
      </w:r>
      <w:r>
        <w:rPr>
          <w:rFonts w:hint="eastAsia"/>
          <w:sz w:val="28"/>
          <w:szCs w:val="28"/>
        </w:rPr>
        <w:t>万</w:t>
      </w:r>
      <w:r>
        <w:rPr>
          <w:sz w:val="28"/>
          <w:szCs w:val="28"/>
        </w:rPr>
        <w:t>+10</w:t>
      </w:r>
      <w:r>
        <w:rPr>
          <w:rFonts w:hint="eastAsia"/>
          <w:sz w:val="28"/>
          <w:szCs w:val="28"/>
        </w:rPr>
        <w:t>万</w:t>
      </w:r>
      <w:r>
        <w:rPr>
          <w:sz w:val="28"/>
          <w:szCs w:val="28"/>
        </w:rPr>
        <w:t>)KVA</w:t>
      </w:r>
      <w:r>
        <w:rPr>
          <w:rFonts w:hint="eastAsia"/>
          <w:sz w:val="28"/>
          <w:szCs w:val="28"/>
        </w:rPr>
        <w:t>，可满足</w:t>
      </w:r>
      <w:r>
        <w:rPr>
          <w:sz w:val="28"/>
          <w:szCs w:val="28"/>
        </w:rPr>
        <w:t>2N</w:t>
      </w:r>
      <w:r>
        <w:rPr>
          <w:rFonts w:hint="eastAsia"/>
          <w:sz w:val="28"/>
          <w:szCs w:val="28"/>
        </w:rPr>
        <w:t>架构下的</w:t>
      </w:r>
      <w:r>
        <w:rPr>
          <w:sz w:val="28"/>
          <w:szCs w:val="28"/>
        </w:rPr>
        <w:t>7</w:t>
      </w:r>
      <w:r>
        <w:rPr>
          <w:rFonts w:hint="eastAsia"/>
          <w:sz w:val="28"/>
          <w:szCs w:val="28"/>
        </w:rPr>
        <w:t>万</w:t>
      </w:r>
      <w:r>
        <w:rPr>
          <w:sz w:val="28"/>
          <w:szCs w:val="28"/>
        </w:rPr>
        <w:t>kw</w:t>
      </w:r>
      <w:r>
        <w:rPr>
          <w:rFonts w:hint="eastAsia"/>
          <w:sz w:val="28"/>
          <w:szCs w:val="28"/>
        </w:rPr>
        <w:t>的</w:t>
      </w:r>
      <w:r>
        <w:rPr>
          <w:sz w:val="28"/>
          <w:szCs w:val="28"/>
        </w:rPr>
        <w:t>IT</w:t>
      </w:r>
      <w:r>
        <w:rPr>
          <w:rFonts w:hint="eastAsia"/>
          <w:sz w:val="28"/>
          <w:szCs w:val="28"/>
        </w:rPr>
        <w:t>负荷。</w:t>
      </w:r>
    </w:p>
    <w:p>
      <w:pPr>
        <w:numPr>
          <w:ilvl w:val="0"/>
          <w:numId w:val="1"/>
        </w:numPr>
        <w:rPr>
          <w:sz w:val="28"/>
          <w:szCs w:val="28"/>
        </w:rPr>
      </w:pPr>
      <w:r>
        <w:rPr>
          <w:rFonts w:hint="eastAsia"/>
          <w:sz w:val="28"/>
          <w:szCs w:val="28"/>
        </w:rPr>
        <w:t>项目手续齐全，拥有独立的土地、房产、立项、能评、电力批复等完整、合规的各项手续，保障项目建设和运营过程的合法合规，有利于项目长期稳定运营。</w:t>
      </w:r>
    </w:p>
    <w:p>
      <w:pPr>
        <w:numPr>
          <w:ilvl w:val="0"/>
          <w:numId w:val="1"/>
        </w:numPr>
        <w:rPr>
          <w:sz w:val="28"/>
          <w:szCs w:val="28"/>
        </w:rPr>
      </w:pPr>
      <w:r>
        <w:rPr>
          <w:rFonts w:hint="eastAsia"/>
          <w:sz w:val="28"/>
          <w:szCs w:val="28"/>
        </w:rPr>
        <w:t>项目股东关系简单清晰，各项目财务清晰。</w:t>
      </w:r>
    </w:p>
    <w:p>
      <w:pPr>
        <w:numPr>
          <w:ilvl w:val="0"/>
          <w:numId w:val="1"/>
        </w:numPr>
        <w:rPr>
          <w:sz w:val="28"/>
          <w:szCs w:val="28"/>
        </w:rPr>
      </w:pPr>
      <w:r>
        <w:rPr>
          <w:rFonts w:hint="eastAsia"/>
          <w:sz w:val="28"/>
          <w:szCs w:val="28"/>
        </w:rPr>
        <w:t>目前已与北京联通、北京移动、京东云等建立合作，受到众多客户认可。与 GPU 货源商“淼算科技”即将签订合作框架。项目将为彩云天气和生物制药等领域提供算力支持，具有广阔的市场前景。现寻求与国央企合作，开展算力项目拓展。</w:t>
      </w:r>
    </w:p>
    <w:p>
      <w:pPr>
        <w:pStyle w:val="2"/>
        <w:rPr>
          <w:sz w:val="28"/>
          <w:szCs w:val="28"/>
        </w:rPr>
      </w:pPr>
      <w:r>
        <w:rPr>
          <w:rFonts w:hint="eastAsia"/>
          <w:sz w:val="28"/>
          <w:szCs w:val="28"/>
        </w:rPr>
        <w:t>2项目优势</w:t>
      </w:r>
    </w:p>
    <w:p>
      <w:pPr>
        <w:numPr>
          <w:ilvl w:val="0"/>
          <w:numId w:val="2"/>
        </w:numPr>
        <w:rPr>
          <w:sz w:val="28"/>
          <w:szCs w:val="28"/>
        </w:rPr>
      </w:pPr>
      <w:r>
        <w:rPr>
          <w:rFonts w:hint="eastAsia"/>
          <w:b/>
          <w:sz w:val="28"/>
          <w:szCs w:val="28"/>
        </w:rPr>
        <w:t>电力供应充足：</w:t>
      </w:r>
      <w:r>
        <w:rPr>
          <w:rFonts w:hint="eastAsia"/>
          <w:sz w:val="28"/>
          <w:szCs w:val="28"/>
        </w:rPr>
        <w:t>项目拥有20万</w:t>
      </w:r>
      <w:r>
        <w:rPr>
          <w:sz w:val="28"/>
          <w:szCs w:val="28"/>
        </w:rPr>
        <w:t>kVA的电力批复，在园区内独立自建110kV</w:t>
      </w:r>
      <w:r>
        <w:rPr>
          <w:rFonts w:hint="eastAsia"/>
          <w:sz w:val="28"/>
          <w:szCs w:val="28"/>
        </w:rPr>
        <w:t>变电站，能够满足算力服务器的高耗能需求和未来扩展需求。</w:t>
      </w:r>
    </w:p>
    <w:p>
      <w:pPr>
        <w:numPr>
          <w:ilvl w:val="0"/>
          <w:numId w:val="2"/>
        </w:numPr>
        <w:rPr>
          <w:sz w:val="28"/>
          <w:szCs w:val="28"/>
        </w:rPr>
      </w:pPr>
      <w:r>
        <w:rPr>
          <w:rFonts w:hint="eastAsia"/>
          <w:b/>
          <w:sz w:val="28"/>
          <w:szCs w:val="28"/>
        </w:rPr>
        <w:t>项目土地和土建适应算力发展需要：</w:t>
      </w:r>
      <w:r>
        <w:rPr>
          <w:rFonts w:hint="eastAsia"/>
          <w:sz w:val="28"/>
          <w:szCs w:val="28"/>
        </w:rPr>
        <w:t>项目规划建设初期，考虑了满足单机柜40KW的设计要求，从各方面考虑了灵活性、兼容性、容错性的条件。</w:t>
      </w:r>
    </w:p>
    <w:p>
      <w:pPr>
        <w:numPr>
          <w:ilvl w:val="0"/>
          <w:numId w:val="2"/>
        </w:numPr>
        <w:rPr>
          <w:sz w:val="28"/>
          <w:szCs w:val="28"/>
        </w:rPr>
      </w:pPr>
      <w:r>
        <w:rPr>
          <w:rFonts w:hint="eastAsia"/>
          <w:b/>
          <w:sz w:val="28"/>
          <w:szCs w:val="28"/>
        </w:rPr>
        <w:t>快速交付使用：</w:t>
      </w:r>
      <w:r>
        <w:rPr>
          <w:rFonts w:hint="eastAsia"/>
          <w:sz w:val="28"/>
          <w:szCs w:val="28"/>
        </w:rPr>
        <w:t>可以在6</w:t>
      </w:r>
      <w:r>
        <w:rPr>
          <w:rFonts w:hint="eastAsia"/>
          <w:sz w:val="28"/>
          <w:szCs w:val="28"/>
          <w:lang w:val="en-US" w:eastAsia="zh-CN"/>
        </w:rPr>
        <w:t>个</w:t>
      </w:r>
      <w:r>
        <w:rPr>
          <w:rFonts w:hint="eastAsia"/>
          <w:sz w:val="28"/>
          <w:szCs w:val="28"/>
        </w:rPr>
        <w:t>月</w:t>
      </w:r>
      <w:r>
        <w:rPr>
          <w:rFonts w:hint="eastAsia"/>
          <w:sz w:val="28"/>
          <w:szCs w:val="28"/>
          <w:lang w:val="en-US" w:eastAsia="zh-CN"/>
        </w:rPr>
        <w:t>内</w:t>
      </w:r>
      <w:bookmarkStart w:id="0" w:name="_GoBack"/>
      <w:bookmarkEnd w:id="0"/>
      <w:r>
        <w:rPr>
          <w:rFonts w:hint="eastAsia"/>
          <w:sz w:val="28"/>
          <w:szCs w:val="28"/>
        </w:rPr>
        <w:t>达到投产条件，快速交付使用。</w:t>
      </w:r>
    </w:p>
    <w:p>
      <w:pPr>
        <w:numPr>
          <w:ilvl w:val="0"/>
          <w:numId w:val="2"/>
        </w:numPr>
        <w:rPr>
          <w:sz w:val="28"/>
          <w:szCs w:val="28"/>
        </w:rPr>
      </w:pPr>
      <w:r>
        <w:rPr>
          <w:rFonts w:hint="eastAsia"/>
          <w:b/>
          <w:sz w:val="28"/>
          <w:szCs w:val="28"/>
        </w:rPr>
        <w:t>网络传输距离短：</w:t>
      </w:r>
      <w:r>
        <w:rPr>
          <w:rFonts w:hint="eastAsia"/>
          <w:sz w:val="28"/>
          <w:szCs w:val="28"/>
        </w:rPr>
        <w:t>项目距离北京的网络核心节点约70公里，网络延时约1ms，能够满足算力对高性能网络传输的要求。</w:t>
      </w:r>
    </w:p>
    <w:p>
      <w:pPr>
        <w:numPr>
          <w:ilvl w:val="0"/>
          <w:numId w:val="2"/>
        </w:numPr>
        <w:rPr>
          <w:sz w:val="28"/>
          <w:szCs w:val="28"/>
        </w:rPr>
      </w:pPr>
      <w:r>
        <w:rPr>
          <w:rFonts w:hint="eastAsia"/>
          <w:b/>
          <w:sz w:val="28"/>
          <w:szCs w:val="28"/>
        </w:rPr>
        <w:t>具备大规模扩容条件：</w:t>
      </w:r>
      <w:r>
        <w:rPr>
          <w:rFonts w:hint="eastAsia"/>
          <w:sz w:val="28"/>
          <w:szCs w:val="28"/>
        </w:rPr>
        <w:t>项目周边可推进新项目土地、报规、能评和电力批复，可为需求单位提供约</w:t>
      </w:r>
      <w:r>
        <w:rPr>
          <w:sz w:val="28"/>
          <w:szCs w:val="28"/>
        </w:rPr>
        <w:t>1</w:t>
      </w:r>
      <w:r>
        <w:rPr>
          <w:rFonts w:hint="eastAsia"/>
          <w:sz w:val="28"/>
          <w:szCs w:val="28"/>
        </w:rPr>
        <w:t>倍的扩容量。</w:t>
      </w:r>
    </w:p>
    <w:p>
      <w:pPr>
        <w:numPr>
          <w:ilvl w:val="0"/>
          <w:numId w:val="2"/>
        </w:numPr>
        <w:rPr>
          <w:sz w:val="28"/>
          <w:szCs w:val="28"/>
        </w:rPr>
      </w:pPr>
      <w:r>
        <w:rPr>
          <w:rFonts w:hint="eastAsia"/>
          <w:b/>
          <w:sz w:val="28"/>
          <w:szCs w:val="28"/>
        </w:rPr>
        <w:t>团队经验：</w:t>
      </w:r>
      <w:r>
        <w:rPr>
          <w:rFonts w:hint="eastAsia"/>
          <w:sz w:val="28"/>
          <w:szCs w:val="28"/>
        </w:rPr>
        <w:t>项目管理团队拥有十年以上的管理经验</w:t>
      </w:r>
      <w:r>
        <w:rPr>
          <w:sz w:val="28"/>
          <w:szCs w:val="28"/>
        </w:rPr>
        <w:t>。</w:t>
      </w:r>
    </w:p>
    <w:p>
      <w:pPr>
        <w:numPr>
          <w:ilvl w:val="0"/>
          <w:numId w:val="2"/>
        </w:numPr>
        <w:rPr>
          <w:sz w:val="28"/>
          <w:szCs w:val="28"/>
        </w:rPr>
      </w:pPr>
      <w:r>
        <w:rPr>
          <w:rFonts w:hint="eastAsia"/>
          <w:b/>
          <w:sz w:val="28"/>
          <w:szCs w:val="28"/>
        </w:rPr>
        <w:t>股东构成：</w:t>
      </w:r>
      <w:r>
        <w:rPr>
          <w:rFonts w:hint="eastAsia"/>
          <w:sz w:val="28"/>
          <w:szCs w:val="28"/>
        </w:rPr>
        <w:t>近日，将陆续有上市公司母公司、央企投资方入股到本项目中来，做实做强项目股东实力，为保障客户交付能力提供坚强的支撑条件。</w:t>
      </w:r>
    </w:p>
    <w:p>
      <w:pPr>
        <w:numPr>
          <w:ilvl w:val="0"/>
          <w:numId w:val="2"/>
        </w:numPr>
        <w:rPr>
          <w:sz w:val="28"/>
          <w:szCs w:val="28"/>
        </w:rPr>
      </w:pPr>
      <w:r>
        <w:rPr>
          <w:rFonts w:hint="eastAsia"/>
          <w:b/>
          <w:sz w:val="28"/>
          <w:szCs w:val="28"/>
        </w:rPr>
        <w:t>技术能力：</w:t>
      </w:r>
      <w:r>
        <w:rPr>
          <w:rFonts w:hint="eastAsia"/>
          <w:sz w:val="28"/>
          <w:szCs w:val="28"/>
        </w:rPr>
        <w:t>项目方汇总了中科院、清华大学的科研团队，可实现英伟达和华为等国产芯片大模型底层数据架构系统的快速切换，增加不同算力基础架构的互通能力，实现节本降耗。满足项目运算能力的同时，保障信息安全，助力海内外业务协同发展。</w:t>
      </w:r>
    </w:p>
    <w:p>
      <w:pPr>
        <w:numPr>
          <w:ilvl w:val="0"/>
          <w:numId w:val="2"/>
        </w:numPr>
        <w:rPr>
          <w:sz w:val="28"/>
          <w:szCs w:val="28"/>
        </w:rPr>
      </w:pPr>
      <w:r>
        <w:rPr>
          <w:rFonts w:hint="eastAsia"/>
          <w:b/>
          <w:sz w:val="28"/>
          <w:szCs w:val="28"/>
        </w:rPr>
        <w:t>全国数据中心部署能力：</w:t>
      </w:r>
      <w:r>
        <w:rPr>
          <w:rFonts w:hint="eastAsia"/>
          <w:sz w:val="28"/>
          <w:szCs w:val="28"/>
        </w:rPr>
        <w:t>团队自2015年就陆续在北京、上海、深圳周边协助配合多家单位开展了数据中心的选择、规划、设计、报批报建、建设管理等业务。经手的项目约10个。</w:t>
      </w:r>
    </w:p>
    <w:p>
      <w:pPr>
        <w:numPr>
          <w:ilvl w:val="0"/>
          <w:numId w:val="2"/>
        </w:numPr>
        <w:rPr>
          <w:sz w:val="28"/>
          <w:szCs w:val="28"/>
        </w:rPr>
      </w:pPr>
      <w:r>
        <w:rPr>
          <w:rFonts w:hint="eastAsia"/>
          <w:sz w:val="28"/>
          <w:szCs w:val="28"/>
        </w:rPr>
        <w:t>英伟达算力设备供应能力：我司与淼算科技形成战略合作，每年可从淼算科技拿到500台以上的英伟达算力设备，可以获得淼算科技的多样算力整合和按需调度的技术能力，能够应对变化的市场环境，具备高效的算力运维能力。</w:t>
      </w:r>
    </w:p>
    <w:p>
      <w:pPr>
        <w:ind w:left="720"/>
        <w:rPr>
          <w:sz w:val="28"/>
          <w:szCs w:val="28"/>
        </w:rPr>
      </w:pPr>
      <w:r>
        <w:rPr>
          <w:rFonts w:hint="eastAsia"/>
          <w:sz w:val="28"/>
          <w:szCs w:val="28"/>
        </w:rPr>
        <w:t>以下是某客户的合作组网案例：</w:t>
      </w:r>
    </w:p>
    <w:p>
      <w:pPr>
        <w:ind w:left="720"/>
        <w:rPr>
          <w:sz w:val="28"/>
          <w:szCs w:val="28"/>
          <w:highlight w:val="yellow"/>
        </w:rPr>
      </w:pPr>
      <w:r>
        <w:rPr>
          <w:sz w:val="28"/>
          <w:szCs w:val="28"/>
          <w:highlight w:val="yellow"/>
        </w:rPr>
        <w:drawing>
          <wp:inline distT="0" distB="0" distL="0" distR="0">
            <wp:extent cx="5274310" cy="3046095"/>
            <wp:effectExtent l="0" t="0" r="2540" b="1905"/>
            <wp:docPr id="2145882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8276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046095"/>
                    </a:xfrm>
                    <a:prstGeom prst="rect">
                      <a:avLst/>
                    </a:prstGeom>
                    <a:noFill/>
                    <a:ln>
                      <a:noFill/>
                    </a:ln>
                  </pic:spPr>
                </pic:pic>
              </a:graphicData>
            </a:graphic>
          </wp:inline>
        </w:drawing>
      </w:r>
    </w:p>
    <w:p>
      <w:pPr>
        <w:numPr>
          <w:ilvl w:val="0"/>
          <w:numId w:val="2"/>
        </w:numPr>
        <w:rPr>
          <w:sz w:val="28"/>
          <w:szCs w:val="28"/>
        </w:rPr>
      </w:pPr>
      <w:r>
        <w:rPr>
          <w:b/>
          <w:sz w:val="28"/>
          <w:szCs w:val="28"/>
        </w:rPr>
        <w:t>华为算力设备供应能力：</w:t>
      </w:r>
      <w:r>
        <w:rPr>
          <w:sz w:val="28"/>
          <w:szCs w:val="28"/>
        </w:rPr>
        <w:t>项目公司的股东之一，上市公司母公司深圳中远通，和华为有长达</w:t>
      </w:r>
      <w:r>
        <w:rPr>
          <w:rFonts w:hint="eastAsia"/>
          <w:sz w:val="28"/>
          <w:szCs w:val="28"/>
        </w:rPr>
        <w:t>10年以上的合作，可引入华为算力服务器及配套客户。</w:t>
      </w:r>
    </w:p>
    <w:p>
      <w:pPr>
        <w:numPr>
          <w:ilvl w:val="0"/>
          <w:numId w:val="2"/>
        </w:numPr>
        <w:rPr>
          <w:b/>
          <w:sz w:val="28"/>
          <w:szCs w:val="28"/>
        </w:rPr>
      </w:pPr>
      <w:r>
        <w:rPr>
          <w:rFonts w:hint="eastAsia"/>
          <w:b/>
          <w:sz w:val="28"/>
          <w:szCs w:val="28"/>
        </w:rPr>
        <w:t>海外资源协调能力：</w:t>
      </w:r>
      <w:r>
        <w:rPr>
          <w:rFonts w:hint="eastAsia"/>
          <w:bCs/>
          <w:sz w:val="28"/>
          <w:szCs w:val="28"/>
        </w:rPr>
        <w:t>盈东数据目前与合作伙伴于全世界在30个国家建立有实体合作，覆盖100+国家地区（见下图全球区域覆盖图），覆盖的国家和地区可以提供当地的ICT, 数据中心租赁，边缘节点建设以及网络搭建等等服务， 目前已在海外完成10余个AI 算力建设项目，可以提供一揽子交付工程，交付到虚机层面，可以提供本地各地区运维等等服务。</w:t>
      </w:r>
    </w:p>
    <w:p>
      <w:pPr>
        <w:ind w:left="2" w:leftChars="-342" w:hanging="720" w:hangingChars="256"/>
        <w:jc w:val="center"/>
        <w:rPr>
          <w:b/>
          <w:sz w:val="28"/>
          <w:szCs w:val="28"/>
          <w:highlight w:val="yellow"/>
        </w:rPr>
      </w:pPr>
      <w:r>
        <w:rPr>
          <w:b/>
          <w:sz w:val="28"/>
          <w:szCs w:val="28"/>
        </w:rPr>
        <w:drawing>
          <wp:inline distT="0" distB="0" distL="0" distR="0">
            <wp:extent cx="5274310" cy="3292475"/>
            <wp:effectExtent l="0" t="0" r="2540" b="3175"/>
            <wp:docPr id="70528275" name="图片 1"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8275" name="图片 1" descr="地图&#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292475"/>
                    </a:xfrm>
                    <a:prstGeom prst="rect">
                      <a:avLst/>
                    </a:prstGeom>
                  </pic:spPr>
                </pic:pic>
              </a:graphicData>
            </a:graphic>
          </wp:inline>
        </w:drawing>
      </w:r>
    </w:p>
    <w:p>
      <w:pPr>
        <w:pStyle w:val="2"/>
        <w:rPr>
          <w:sz w:val="28"/>
          <w:szCs w:val="28"/>
        </w:rPr>
      </w:pPr>
      <w:r>
        <w:rPr>
          <w:rFonts w:hint="eastAsia"/>
          <w:sz w:val="28"/>
          <w:szCs w:val="28"/>
        </w:rPr>
        <w:t>3</w:t>
      </w:r>
      <w:r>
        <w:rPr>
          <w:sz w:val="28"/>
          <w:szCs w:val="28"/>
        </w:rPr>
        <w:t>团队介绍</w:t>
      </w:r>
    </w:p>
    <w:p>
      <w:pPr>
        <w:pStyle w:val="3"/>
        <w:spacing w:line="417" w:lineRule="auto"/>
        <w:ind w:right="515" w:firstLine="559"/>
        <w:rPr>
          <w:rFonts w:ascii="宋体" w:hAnsi="宋体" w:eastAsia="宋体" w:cs="宋体"/>
          <w:i w:val="0"/>
          <w:iCs/>
        </w:rPr>
      </w:pPr>
      <w:r>
        <w:rPr>
          <w:rFonts w:hint="eastAsia" w:ascii="宋体" w:hAnsi="宋体" w:eastAsia="宋体" w:cs="宋体"/>
          <w:i w:val="0"/>
          <w:iCs/>
        </w:rPr>
        <w:t>北京盈东数据科技有限公司(简称：盈东数据)，注册资本3000万人民币，是国内数据中心开发建设运营、互联网技术研发及应用的技术服务提供商，并于2017年获得国家级高新技术企业认证。目前已拥有ISO认证证书3项，实用新型专利证书3项，发明专利证书2项，外观设计专利证书1项，受理中发明专利4项，软件著作权31项，注册商标30枚，是一家在IDC、算力、数字平台应用三大领域具有专业水平和成熟技术集成能力的企业。</w:t>
      </w:r>
    </w:p>
    <w:p>
      <w:pPr>
        <w:pStyle w:val="3"/>
        <w:spacing w:line="417" w:lineRule="auto"/>
        <w:ind w:right="515" w:firstLine="559"/>
        <w:rPr>
          <w:rFonts w:ascii="宋体" w:hAnsi="宋体" w:eastAsia="宋体" w:cs="宋体"/>
          <w:i w:val="0"/>
          <w:iCs/>
        </w:rPr>
      </w:pPr>
      <w:r>
        <w:rPr>
          <w:rFonts w:hint="eastAsia" w:ascii="宋体" w:hAnsi="宋体" w:eastAsia="宋体" w:cs="宋体"/>
          <w:i w:val="0"/>
          <w:iCs/>
        </w:rPr>
        <w:t>截至目前，核心成员主导及参与的数据中心项目百余个，涉及项目前期、设计、工程管理、验收及运维等，获得了UptimeTierIV设计认证1项、UptimeTierIII设计认证1项、国家建筑设计一等奖1项；参编了《数据中心基础设施规划设计若干问题》、《绿色数据中心建筑评价技术细则》GB/T50378-2014、《数据中心节水技术导则》T11BIE001-2017。</w:t>
      </w:r>
    </w:p>
    <w:p>
      <w:pPr>
        <w:pStyle w:val="3"/>
        <w:spacing w:line="417" w:lineRule="auto"/>
        <w:ind w:right="515" w:firstLine="559"/>
        <w:rPr>
          <w:rFonts w:ascii="宋体" w:hAnsi="宋体" w:eastAsia="宋体" w:cs="宋体"/>
          <w:i w:val="0"/>
          <w:iCs/>
        </w:rPr>
      </w:pPr>
      <w:r>
        <w:rPr>
          <w:rFonts w:hint="eastAsia" w:ascii="宋体" w:hAnsi="宋体" w:eastAsia="宋体" w:cs="宋体"/>
          <w:i w:val="0"/>
          <w:iCs/>
        </w:rPr>
        <w:t>盈东数据运营项目包括：廊坊盈东国际数据港；河北廊坊、北京通州区、北京大兴区等地陆续开发的项目，储备机柜总数2万架以上。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B5D36"/>
    <w:multiLevelType w:val="multilevel"/>
    <w:tmpl w:val="206B5D36"/>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
    <w:nsid w:val="5AF11118"/>
    <w:multiLevelType w:val="multilevel"/>
    <w:tmpl w:val="5AF11118"/>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DI5ZGJkMDUzY2YwMWI2NmJiMjRkMjA2MGYyMjEifQ=="/>
  </w:docVars>
  <w:rsids>
    <w:rsidRoot w:val="006A6EF5"/>
    <w:rsid w:val="00061AFD"/>
    <w:rsid w:val="000A5D4F"/>
    <w:rsid w:val="000D16D8"/>
    <w:rsid w:val="00134BBF"/>
    <w:rsid w:val="00147214"/>
    <w:rsid w:val="00161F6B"/>
    <w:rsid w:val="001802B0"/>
    <w:rsid w:val="001F5FDB"/>
    <w:rsid w:val="002169C1"/>
    <w:rsid w:val="00281A2D"/>
    <w:rsid w:val="00293F68"/>
    <w:rsid w:val="003203DF"/>
    <w:rsid w:val="003D0A0E"/>
    <w:rsid w:val="003E3667"/>
    <w:rsid w:val="003F3FAF"/>
    <w:rsid w:val="003F5428"/>
    <w:rsid w:val="00435DF4"/>
    <w:rsid w:val="004E14A2"/>
    <w:rsid w:val="00503AF9"/>
    <w:rsid w:val="00574424"/>
    <w:rsid w:val="005817E0"/>
    <w:rsid w:val="00590353"/>
    <w:rsid w:val="00620C61"/>
    <w:rsid w:val="006A6EF5"/>
    <w:rsid w:val="006A72AD"/>
    <w:rsid w:val="0072368C"/>
    <w:rsid w:val="00740E53"/>
    <w:rsid w:val="00741C4D"/>
    <w:rsid w:val="00836A49"/>
    <w:rsid w:val="008D5548"/>
    <w:rsid w:val="00905A34"/>
    <w:rsid w:val="00952965"/>
    <w:rsid w:val="0096769F"/>
    <w:rsid w:val="00A93503"/>
    <w:rsid w:val="00B17A1F"/>
    <w:rsid w:val="00BC4116"/>
    <w:rsid w:val="00BD0D28"/>
    <w:rsid w:val="00BE0263"/>
    <w:rsid w:val="00BE5A89"/>
    <w:rsid w:val="00C32FEA"/>
    <w:rsid w:val="00C50253"/>
    <w:rsid w:val="00C602D6"/>
    <w:rsid w:val="00C66AF8"/>
    <w:rsid w:val="00C857FB"/>
    <w:rsid w:val="00CD0EA0"/>
    <w:rsid w:val="00D31094"/>
    <w:rsid w:val="00DF0583"/>
    <w:rsid w:val="00F920F7"/>
    <w:rsid w:val="00FC2C92"/>
    <w:rsid w:val="0564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4"/>
    <w:autoRedefine/>
    <w:qFormat/>
    <w:uiPriority w:val="0"/>
    <w:pPr>
      <w:ind w:left="240"/>
    </w:pPr>
    <w:rPr>
      <w:rFonts w:ascii="新宋体" w:hAnsi="新宋体" w:eastAsia="新宋体" w:cs="新宋体"/>
      <w:i/>
      <w:sz w:val="28"/>
      <w:szCs w:val="28"/>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unhideWhenUsed/>
    <w:uiPriority w:val="99"/>
    <w:pPr>
      <w:tabs>
        <w:tab w:val="center" w:pos="4513"/>
        <w:tab w:val="right" w:pos="902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513"/>
        <w:tab w:val="right" w:pos="9026"/>
      </w:tabs>
      <w:snapToGrid w:val="0"/>
      <w:jc w:val="center"/>
    </w:pPr>
    <w:rPr>
      <w:sz w:val="18"/>
      <w:szCs w:val="18"/>
    </w:rPr>
  </w:style>
  <w:style w:type="paragraph" w:styleId="7">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0">
    <w:name w:val="标题 Char"/>
    <w:basedOn w:val="9"/>
    <w:link w:val="7"/>
    <w:uiPriority w:val="10"/>
    <w:rPr>
      <w:rFonts w:eastAsia="宋体" w:asciiTheme="majorHAnsi" w:hAnsiTheme="majorHAnsi" w:cstheme="majorBidi"/>
      <w:b/>
      <w:bCs/>
      <w:sz w:val="32"/>
      <w:szCs w:val="32"/>
    </w:rPr>
  </w:style>
  <w:style w:type="character" w:customStyle="1" w:styleId="11">
    <w:name w:val="标题 1 Char"/>
    <w:basedOn w:val="9"/>
    <w:link w:val="2"/>
    <w:uiPriority w:val="9"/>
    <w:rPr>
      <w:b/>
      <w:bCs/>
      <w:kern w:val="44"/>
      <w:sz w:val="44"/>
      <w:szCs w:val="44"/>
    </w:rPr>
  </w:style>
  <w:style w:type="character" w:customStyle="1" w:styleId="12">
    <w:name w:val="页眉 Char"/>
    <w:basedOn w:val="9"/>
    <w:link w:val="6"/>
    <w:uiPriority w:val="99"/>
    <w:rPr>
      <w:sz w:val="18"/>
      <w:szCs w:val="18"/>
    </w:rPr>
  </w:style>
  <w:style w:type="character" w:customStyle="1" w:styleId="13">
    <w:name w:val="页脚 Char"/>
    <w:basedOn w:val="9"/>
    <w:link w:val="5"/>
    <w:autoRedefine/>
    <w:qFormat/>
    <w:uiPriority w:val="99"/>
    <w:rPr>
      <w:sz w:val="18"/>
      <w:szCs w:val="18"/>
    </w:rPr>
  </w:style>
  <w:style w:type="character" w:customStyle="1" w:styleId="14">
    <w:name w:val="正文文本 Char"/>
    <w:basedOn w:val="9"/>
    <w:link w:val="3"/>
    <w:autoRedefine/>
    <w:qFormat/>
    <w:uiPriority w:val="0"/>
    <w:rPr>
      <w:rFonts w:ascii="新宋体" w:hAnsi="新宋体" w:eastAsia="新宋体" w:cs="新宋体"/>
      <w:i/>
      <w:sz w:val="28"/>
      <w:szCs w:val="28"/>
    </w:rPr>
  </w:style>
  <w:style w:type="character" w:customStyle="1" w:styleId="15">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251</Words>
  <Characters>1431</Characters>
  <Lines>11</Lines>
  <Paragraphs>3</Paragraphs>
  <TotalTime>13</TotalTime>
  <ScaleCrop>false</ScaleCrop>
  <LinksUpToDate>false</LinksUpToDate>
  <CharactersWithSpaces>1679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2024-04-03T06:26:00Z</dcterms:created>
  <dc:creator>cui</dc:creator>
  <cp:lastModifiedBy>醉看风云</cp:lastModifiedBy>
  <dcterms:modified xsi:type="dcterms:W3CDTF">2024-05-11T01:20:53Z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ED344210A426478C949E8D7A135C8FFB_12</vt:lpwstr>
  </property>
</Properties>
</file>