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8C95F" w14:textId="77777777" w:rsidR="00165F15" w:rsidRPr="00480399" w:rsidRDefault="00000000">
      <w:pPr>
        <w:jc w:val="center"/>
        <w:rPr>
          <w:rStyle w:val="10"/>
          <w:sz w:val="36"/>
          <w:szCs w:val="36"/>
          <w14:ligatures w14:val="none"/>
        </w:rPr>
      </w:pPr>
      <w:r w:rsidRPr="00480399">
        <w:rPr>
          <w:rStyle w:val="10"/>
          <w:rFonts w:hint="eastAsia"/>
          <w:sz w:val="36"/>
          <w:szCs w:val="36"/>
          <w14:ligatures w14:val="none"/>
        </w:rPr>
        <w:t>荥阳</w:t>
      </w:r>
      <w:proofErr w:type="gramStart"/>
      <w:r w:rsidRPr="00480399">
        <w:rPr>
          <w:rStyle w:val="10"/>
          <w:rFonts w:hint="eastAsia"/>
          <w:sz w:val="36"/>
          <w:szCs w:val="36"/>
          <w14:ligatures w14:val="none"/>
        </w:rPr>
        <w:t>吾悦广场</w:t>
      </w:r>
      <w:proofErr w:type="gramEnd"/>
      <w:r w:rsidRPr="00480399">
        <w:rPr>
          <w:rStyle w:val="10"/>
          <w:rFonts w:hint="eastAsia"/>
          <w:sz w:val="36"/>
          <w:szCs w:val="36"/>
          <w14:ligatures w14:val="none"/>
        </w:rPr>
        <w:t>融资计划书</w:t>
      </w:r>
    </w:p>
    <w:p w14:paraId="0E21E867" w14:textId="77777777" w:rsidR="00165F15" w:rsidRDefault="00165F15"/>
    <w:p w14:paraId="45DD754F" w14:textId="77777777" w:rsidR="00165F15" w:rsidRPr="00480399" w:rsidRDefault="00000000" w:rsidP="00480399">
      <w:pPr>
        <w:spacing w:line="360" w:lineRule="auto"/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t>一、商场基本情况</w:t>
      </w:r>
    </w:p>
    <w:p w14:paraId="5BEA32E3" w14:textId="6494742F" w:rsidR="00165F15" w:rsidRPr="00480399" w:rsidRDefault="00000000" w:rsidP="00480399">
      <w:pPr>
        <w:spacing w:line="360" w:lineRule="auto"/>
        <w:ind w:firstLineChars="221" w:firstLine="530"/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</w:pPr>
      <w:proofErr w:type="gramStart"/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>荥阳吾悦广场</w:t>
      </w:r>
      <w:proofErr w:type="gramEnd"/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>，由郑州新城</w:t>
      </w:r>
      <w:proofErr w:type="gramStart"/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>恒博商业</w:t>
      </w:r>
      <w:proofErr w:type="gramEnd"/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>经营管理有限公司运营管理，是荥阳市的标志性商业综合体。广场位于郑州市荥阳市的核心位置，总建筑面积约</w:t>
      </w:r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9.8万平方米，</w:t>
      </w:r>
      <w:r w:rsidR="00B27E8B" w:rsidRPr="00480399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t>可租面积59597.95平米。</w:t>
      </w:r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自2021年9月起正式运营。作为一个集购物、餐饮、娱乐及文化活动于一体的现代化商业中心，荥阳</w:t>
      </w:r>
      <w:proofErr w:type="gramStart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吾悦广场</w:t>
      </w:r>
      <w:proofErr w:type="gramEnd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已成为当地居民和周边区域消费者的首选目的地。</w:t>
      </w:r>
      <w:r w:rsidR="00B27E8B" w:rsidRPr="00480399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t>2024年3月5日，经预评估</w:t>
      </w:r>
      <w:r w:rsidR="00480399" w:rsidRPr="00480399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t>，该项目评估单价为11788元/平方米，评估总价为115360.98万元。</w:t>
      </w:r>
    </w:p>
    <w:p w14:paraId="42AF0A7A" w14:textId="77777777" w:rsidR="00165F15" w:rsidRPr="00480399" w:rsidRDefault="00165F15" w:rsidP="00480399">
      <w:pPr>
        <w:spacing w:line="360" w:lineRule="auto"/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</w:pPr>
    </w:p>
    <w:p w14:paraId="5031C642" w14:textId="77777777" w:rsidR="00165F15" w:rsidRPr="00480399" w:rsidRDefault="00000000" w:rsidP="00480399">
      <w:pPr>
        <w:spacing w:line="360" w:lineRule="auto"/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t>二、商场经营情况</w:t>
      </w:r>
    </w:p>
    <w:p w14:paraId="208FA6F3" w14:textId="524EA167" w:rsidR="00165F15" w:rsidRPr="00480399" w:rsidRDefault="00000000" w:rsidP="00480399">
      <w:pPr>
        <w:spacing w:line="360" w:lineRule="auto"/>
        <w:ind w:firstLineChars="221" w:firstLine="530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>荥阳</w:t>
      </w:r>
      <w:proofErr w:type="gramStart"/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>吾悦广场</w:t>
      </w:r>
      <w:proofErr w:type="gramEnd"/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>的成功运营，得益于其丰富多样的商业品牌组合以及专业的商场管理。主力店铺包括国内外知名的零售品牌、餐饮连锁、影院以及儿童娱乐设施等，全方位满足不同消费者的需求。</w:t>
      </w:r>
    </w:p>
    <w:p w14:paraId="42046B01" w14:textId="482B14E4" w:rsidR="00165F15" w:rsidRPr="00480399" w:rsidRDefault="00480399" w:rsidP="00480399">
      <w:pPr>
        <w:spacing w:line="360" w:lineRule="auto"/>
        <w:ind w:firstLineChars="200" w:firstLine="480"/>
        <w:rPr>
          <w:rFonts w:ascii="宋体" w:eastAsia="宋体" w:hAnsi="宋体" w:cs="仿宋"/>
          <w:b/>
          <w:bCs/>
          <w:kern w:val="44"/>
          <w:sz w:val="24"/>
          <w:szCs w:val="24"/>
          <w14:ligatures w14:val="none"/>
        </w:rPr>
      </w:pPr>
      <w:r w:rsidRPr="00480399">
        <w:rPr>
          <w:rFonts w:ascii="宋体" w:eastAsia="宋体" w:hAnsi="宋体" w:cs="仿宋" w:hint="eastAsia"/>
          <w:kern w:val="44"/>
          <w:sz w:val="24"/>
          <w:szCs w:val="24"/>
          <w14:ligatures w14:val="none"/>
        </w:rPr>
        <w:t>2021年9月投入运营后，2022年出租率95.69%，全口径运营收入9,200万;</w:t>
      </w:r>
      <w:r w:rsidRPr="00480399">
        <w:rPr>
          <w:rFonts w:ascii="宋体" w:eastAsia="宋体" w:hAnsi="宋体" w:cs="仿宋"/>
          <w:b/>
          <w:bCs/>
          <w:kern w:val="44"/>
          <w:sz w:val="24"/>
          <w:szCs w:val="24"/>
          <w14:ligatures w14:val="none"/>
        </w:rPr>
        <w:t>2023年，</w:t>
      </w:r>
      <w:r w:rsidRPr="00480399">
        <w:rPr>
          <w:rFonts w:ascii="宋体" w:eastAsia="宋体" w:hAnsi="宋体" w:cs="仿宋" w:hint="eastAsia"/>
          <w:b/>
          <w:bCs/>
          <w:kern w:val="44"/>
          <w:sz w:val="24"/>
          <w:szCs w:val="24"/>
          <w14:ligatures w14:val="none"/>
        </w:rPr>
        <w:t>出租率达100%，全口径运营收入9,700万元。</w:t>
      </w:r>
    </w:p>
    <w:p w14:paraId="5C4698D0" w14:textId="77777777" w:rsidR="00480399" w:rsidRPr="00480399" w:rsidRDefault="00480399" w:rsidP="00480399">
      <w:pPr>
        <w:spacing w:line="360" w:lineRule="auto"/>
        <w:ind w:firstLineChars="200" w:firstLine="482"/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</w:pPr>
    </w:p>
    <w:p w14:paraId="0C5515CF" w14:textId="2B8578BE" w:rsidR="00165F15" w:rsidRPr="00480399" w:rsidRDefault="00000000" w:rsidP="00480399">
      <w:pPr>
        <w:spacing w:line="360" w:lineRule="auto"/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t>三、融资</w:t>
      </w:r>
      <w:r w:rsidR="00480399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t>需求</w:t>
      </w:r>
    </w:p>
    <w:p w14:paraId="373265F7" w14:textId="1BB191C5" w:rsidR="00165F15" w:rsidRPr="00480399" w:rsidRDefault="00000000" w:rsidP="00480399">
      <w:pPr>
        <w:spacing w:line="360" w:lineRule="auto"/>
        <w:ind w:firstLineChars="200" w:firstLine="482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  <w:t>期限：</w:t>
      </w:r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5年</w:t>
      </w:r>
    </w:p>
    <w:p w14:paraId="237E7E50" w14:textId="77777777" w:rsidR="00165F15" w:rsidRPr="00480399" w:rsidRDefault="00000000" w:rsidP="00480399">
      <w:pPr>
        <w:spacing w:line="360" w:lineRule="auto"/>
        <w:ind w:firstLineChars="200" w:firstLine="482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  <w:t>额度：</w:t>
      </w:r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>4</w:t>
      </w:r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亿</w:t>
      </w:r>
    </w:p>
    <w:p w14:paraId="46C084C6" w14:textId="77777777" w:rsidR="00165F15" w:rsidRPr="00480399" w:rsidRDefault="00000000" w:rsidP="00480399">
      <w:pPr>
        <w:spacing w:line="360" w:lineRule="auto"/>
        <w:ind w:firstLineChars="200" w:firstLine="482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  <w:t>担保措施：</w:t>
      </w:r>
      <w:proofErr w:type="gramStart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本笔贷款</w:t>
      </w:r>
      <w:proofErr w:type="gramEnd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拟由申请人名下</w:t>
      </w:r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>荥阳</w:t>
      </w:r>
      <w:proofErr w:type="gramStart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吾悦广场</w:t>
      </w:r>
      <w:proofErr w:type="gramEnd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抵押。</w:t>
      </w:r>
    </w:p>
    <w:p w14:paraId="62B2853B" w14:textId="77777777" w:rsidR="00165F15" w:rsidRPr="00480399" w:rsidRDefault="00000000" w:rsidP="00480399">
      <w:pPr>
        <w:spacing w:line="360" w:lineRule="auto"/>
        <w:ind w:firstLineChars="200" w:firstLine="482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  <w:t>还款来源：</w:t>
      </w:r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第一还款来源为申</w:t>
      </w:r>
      <w:proofErr w:type="gramStart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贷物</w:t>
      </w:r>
      <w:proofErr w:type="gramEnd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业的经营收入。可对其经营收入进行封闭式管理，因此本项目第一还款来源充足。</w:t>
      </w:r>
      <w:r w:rsidRPr="00480399"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  <w:t xml:space="preserve">  </w:t>
      </w:r>
    </w:p>
    <w:p w14:paraId="75AE1873" w14:textId="77777777" w:rsidR="00165F15" w:rsidRPr="00480399" w:rsidRDefault="00000000" w:rsidP="00480399">
      <w:pPr>
        <w:spacing w:line="360" w:lineRule="auto"/>
        <w:ind w:firstLineChars="200" w:firstLine="480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第二还款来源为河南大区销售收入。</w:t>
      </w:r>
    </w:p>
    <w:p w14:paraId="32ECE2D2" w14:textId="77777777" w:rsidR="00165F15" w:rsidRPr="00480399" w:rsidRDefault="00000000" w:rsidP="00480399">
      <w:pPr>
        <w:spacing w:line="360" w:lineRule="auto"/>
        <w:ind w:firstLineChars="200" w:firstLine="482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  <w:r w:rsidRPr="00480399"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  <w:t>资金用途：</w:t>
      </w:r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贷款资金用途用于归还股东借款、提</w:t>
      </w:r>
      <w:proofErr w:type="gramStart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质改造</w:t>
      </w:r>
      <w:proofErr w:type="gramEnd"/>
      <w:r w:rsidRPr="00480399"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  <w:t>提供相关证明材料，贷款资金使用支付方式。</w:t>
      </w:r>
    </w:p>
    <w:p w14:paraId="44C6739F" w14:textId="77777777" w:rsidR="00165F15" w:rsidRDefault="00165F15" w:rsidP="00480399">
      <w:pPr>
        <w:spacing w:line="360" w:lineRule="auto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</w:p>
    <w:p w14:paraId="15BD81A7" w14:textId="77777777" w:rsidR="00480399" w:rsidRDefault="00480399" w:rsidP="00480399">
      <w:pPr>
        <w:spacing w:line="360" w:lineRule="auto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</w:p>
    <w:p w14:paraId="4BAF0980" w14:textId="77777777" w:rsidR="00480399" w:rsidRPr="00480399" w:rsidRDefault="00480399" w:rsidP="00480399">
      <w:pPr>
        <w:spacing w:line="360" w:lineRule="auto"/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</w:pPr>
    </w:p>
    <w:p w14:paraId="0C4E72BB" w14:textId="0AC2076F" w:rsidR="00165F15" w:rsidRPr="003B3B9A" w:rsidRDefault="00000000" w:rsidP="00480399">
      <w:pPr>
        <w:spacing w:line="360" w:lineRule="auto"/>
        <w:rPr>
          <w:rStyle w:val="10"/>
          <w:rFonts w:ascii="宋体" w:eastAsia="宋体" w:hAnsi="宋体" w:cs="仿宋"/>
          <w:bCs/>
          <w:sz w:val="24"/>
          <w:szCs w:val="24"/>
          <w14:ligatures w14:val="none"/>
        </w:rPr>
      </w:pPr>
      <w:r w:rsidRPr="003B3B9A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lastRenderedPageBreak/>
        <w:t>附：未来</w:t>
      </w:r>
      <w:r w:rsidR="003B3B9A" w:rsidRPr="003B3B9A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t>7</w:t>
      </w:r>
      <w:r w:rsidRPr="003B3B9A">
        <w:rPr>
          <w:rStyle w:val="10"/>
          <w:rFonts w:ascii="宋体" w:eastAsia="宋体" w:hAnsi="宋体" w:cs="仿宋" w:hint="eastAsia"/>
          <w:bCs/>
          <w:sz w:val="24"/>
          <w:szCs w:val="24"/>
          <w14:ligatures w14:val="none"/>
        </w:rPr>
        <w:t>年现金流测算</w:t>
      </w:r>
    </w:p>
    <w:p w14:paraId="38942CDA" w14:textId="77C186B8" w:rsidR="00165F15" w:rsidRPr="00480399" w:rsidRDefault="003B3B9A" w:rsidP="00480399">
      <w:pPr>
        <w:spacing w:line="360" w:lineRule="auto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  <w:r w:rsidRPr="003B3B9A">
        <w:rPr>
          <w:rStyle w:val="10"/>
          <w:b w:val="0"/>
          <w:kern w:val="2"/>
          <w:sz w:val="21"/>
        </w:rPr>
        <w:drawing>
          <wp:inline distT="0" distB="0" distL="0" distR="0" wp14:anchorId="70CA356C" wp14:editId="7F4F729D">
            <wp:extent cx="5330019" cy="2247900"/>
            <wp:effectExtent l="0" t="0" r="4445" b="0"/>
            <wp:docPr id="997543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483" cy="224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7486" w14:textId="77777777" w:rsidR="00165F15" w:rsidRDefault="00165F15" w:rsidP="00480399">
      <w:pPr>
        <w:spacing w:line="360" w:lineRule="auto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</w:p>
    <w:p w14:paraId="3C2FF069" w14:textId="538F55A3" w:rsidR="003B3B9A" w:rsidRDefault="003B3B9A" w:rsidP="00480399">
      <w:pPr>
        <w:spacing w:line="360" w:lineRule="auto"/>
        <w:rPr>
          <w:rStyle w:val="10"/>
          <w:rFonts w:ascii="宋体" w:eastAsia="宋体" w:hAnsi="宋体" w:cs="仿宋"/>
          <w:b w:val="0"/>
          <w:sz w:val="24"/>
          <w:szCs w:val="24"/>
          <w14:ligatures w14:val="none"/>
        </w:rPr>
      </w:pPr>
      <w:r w:rsidRPr="003B3B9A">
        <w:rPr>
          <w:rFonts w:ascii="仿宋" w:eastAsia="仿宋" w:hAnsi="仿宋" w:cs="仿宋"/>
          <w:noProof/>
          <w:kern w:val="44"/>
          <w:sz w:val="32"/>
          <w:szCs w:val="32"/>
          <w14:ligatures w14:val="none"/>
        </w:rPr>
        <w:drawing>
          <wp:inline distT="0" distB="0" distL="0" distR="0" wp14:anchorId="3CD541E8" wp14:editId="5C4E2624">
            <wp:extent cx="5271770" cy="2966085"/>
            <wp:effectExtent l="0" t="0" r="5080" b="5715"/>
            <wp:docPr id="15420000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00049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1FF4" w14:textId="77777777" w:rsidR="003B3B9A" w:rsidRPr="00480399" w:rsidRDefault="003B3B9A" w:rsidP="00480399">
      <w:pPr>
        <w:spacing w:line="360" w:lineRule="auto"/>
        <w:rPr>
          <w:rStyle w:val="10"/>
          <w:rFonts w:ascii="宋体" w:eastAsia="宋体" w:hAnsi="宋体" w:cs="仿宋" w:hint="eastAsia"/>
          <w:b w:val="0"/>
          <w:sz w:val="24"/>
          <w:szCs w:val="24"/>
          <w14:ligatures w14:val="none"/>
        </w:rPr>
      </w:pPr>
    </w:p>
    <w:sectPr w:rsidR="003B3B9A" w:rsidRPr="00480399" w:rsidSect="00866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C3DA3" w14:textId="77777777" w:rsidR="00866D5A" w:rsidRDefault="00866D5A" w:rsidP="00B27E8B">
      <w:r>
        <w:separator/>
      </w:r>
    </w:p>
  </w:endnote>
  <w:endnote w:type="continuationSeparator" w:id="0">
    <w:p w14:paraId="36E61C50" w14:textId="77777777" w:rsidR="00866D5A" w:rsidRDefault="00866D5A" w:rsidP="00B2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64ADE" w14:textId="77777777" w:rsidR="00866D5A" w:rsidRDefault="00866D5A" w:rsidP="00B27E8B">
      <w:r>
        <w:separator/>
      </w:r>
    </w:p>
  </w:footnote>
  <w:footnote w:type="continuationSeparator" w:id="0">
    <w:p w14:paraId="10F05537" w14:textId="77777777" w:rsidR="00866D5A" w:rsidRDefault="00866D5A" w:rsidP="00B2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535342"/>
    <w:multiLevelType w:val="singleLevel"/>
    <w:tmpl w:val="B353534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6712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hlNTZiMTE2MTNjZTIwMjI4YzM4YTQ4YjQzMTRiNDYifQ=="/>
  </w:docVars>
  <w:rsids>
    <w:rsidRoot w:val="0099551C"/>
    <w:rsid w:val="00165F15"/>
    <w:rsid w:val="003B3B9A"/>
    <w:rsid w:val="00480399"/>
    <w:rsid w:val="00601275"/>
    <w:rsid w:val="00866D5A"/>
    <w:rsid w:val="0099551C"/>
    <w:rsid w:val="00B27E8B"/>
    <w:rsid w:val="3FD65DC6"/>
    <w:rsid w:val="4AC2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93C63"/>
  <w15:docId w15:val="{768015E0-1FB7-46ED-98AF-F11BF640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kern w:val="44"/>
      <w:sz w:val="44"/>
    </w:rPr>
  </w:style>
  <w:style w:type="character" w:customStyle="1" w:styleId="11">
    <w:name w:val="标题 1 字符1"/>
    <w:basedOn w:val="a0"/>
    <w:autoRedefine/>
    <w:uiPriority w:val="9"/>
    <w:qFormat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B27E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7E8B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B27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7E8B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高鑫</dc:creator>
  <cp:lastModifiedBy>hoo hu</cp:lastModifiedBy>
  <cp:revision>3</cp:revision>
  <dcterms:created xsi:type="dcterms:W3CDTF">2024-03-22T06:08:00Z</dcterms:created>
  <dcterms:modified xsi:type="dcterms:W3CDTF">2024-05-09T09:28:00Z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B6B4818C6E484D0B8F70E5C30AE75F8C_12</vt:lpwstr>
  </property>
</Properties>
</file>