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D7E0B">
      <w:pPr>
        <w:pStyle w:val="2"/>
        <w:numPr>
          <w:ilvl w:val="0"/>
          <w:numId w:val="0"/>
        </w:numPr>
        <w:ind w:left="567" w:leftChars="0"/>
        <w:jc w:val="center"/>
        <w:rPr>
          <w:rFonts w:hint="eastAsia"/>
          <w:sz w:val="44"/>
          <w:szCs w:val="44"/>
          <w:lang w:val="en-US" w:eastAsia="zh-CN"/>
        </w:rPr>
      </w:pPr>
      <w:bookmarkStart w:id="0" w:name="_Toc124449105"/>
      <w:r>
        <w:rPr>
          <w:rFonts w:hint="eastAsia"/>
          <w:sz w:val="44"/>
          <w:szCs w:val="44"/>
          <w:lang w:val="en-US" w:eastAsia="zh-CN"/>
        </w:rPr>
        <w:t>陕西亿晟房地产开发有限公司</w:t>
      </w:r>
    </w:p>
    <w:p w14:paraId="25B41AC6">
      <w:pPr>
        <w:pStyle w:val="2"/>
        <w:numPr>
          <w:ilvl w:val="0"/>
          <w:numId w:val="0"/>
        </w:numPr>
        <w:ind w:left="567" w:leftChars="0"/>
        <w:jc w:val="center"/>
        <w:rPr>
          <w:rFonts w:hint="eastAsia"/>
          <w:sz w:val="44"/>
          <w:szCs w:val="44"/>
          <w:lang w:val="en-US" w:eastAsia="zh-CN"/>
        </w:rPr>
      </w:pPr>
      <w:r>
        <w:rPr>
          <w:rFonts w:hint="eastAsia"/>
          <w:sz w:val="44"/>
          <w:szCs w:val="44"/>
        </w:rPr>
        <w:t>融资</w:t>
      </w:r>
      <w:bookmarkEnd w:id="0"/>
      <w:r>
        <w:rPr>
          <w:rFonts w:hint="eastAsia"/>
          <w:sz w:val="44"/>
          <w:szCs w:val="44"/>
          <w:lang w:val="en-US" w:eastAsia="zh-CN"/>
        </w:rPr>
        <w:t>计划书</w:t>
      </w:r>
      <w:bookmarkStart w:id="1" w:name="_Toc124449106"/>
    </w:p>
    <w:p w14:paraId="19A75410">
      <w:pPr>
        <w:pStyle w:val="2"/>
        <w:numPr>
          <w:ilvl w:val="0"/>
          <w:numId w:val="0"/>
        </w:numPr>
        <w:ind w:left="567" w:leftChars="0"/>
        <w:jc w:val="center"/>
        <w:rPr>
          <w:rFonts w:hint="eastAsia" w:ascii="仿宋" w:hAnsi="仿宋" w:eastAsia="仿宋" w:cs="仿宋"/>
          <w:sz w:val="32"/>
          <w:szCs w:val="32"/>
          <w:lang w:val="en-US" w:eastAsia="zh-CN"/>
        </w:rPr>
      </w:pPr>
    </w:p>
    <w:p w14:paraId="712C9CD8">
      <w:pPr>
        <w:pStyle w:val="2"/>
        <w:numPr>
          <w:ilvl w:val="0"/>
          <w:numId w:val="0"/>
        </w:numPr>
        <w:ind w:firstLine="643"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一、公司基本情况介绍</w:t>
      </w:r>
    </w:p>
    <w:p w14:paraId="682CE0D5">
      <w:pPr>
        <w:numPr>
          <w:ilvl w:val="0"/>
          <w:numId w:val="0"/>
        </w:numPr>
        <w:tabs>
          <w:tab w:val="left" w:pos="0"/>
        </w:tabs>
        <w:spacing w:line="360" w:lineRule="auto"/>
        <w:ind w:left="0" w:leftChars="0" w:firstLine="659" w:firstLineChars="206"/>
        <w:rPr>
          <w:rStyle w:val="37"/>
          <w:rFonts w:hint="eastAsia" w:ascii="仿宋" w:hAnsi="仿宋" w:eastAsia="仿宋" w:cs="仿宋"/>
          <w:sz w:val="32"/>
          <w:szCs w:val="32"/>
          <w:highlight w:val="none"/>
          <w:lang w:eastAsia="zh-CN"/>
        </w:rPr>
      </w:pPr>
      <w:r>
        <w:rPr>
          <w:rFonts w:hint="eastAsia" w:ascii="仿宋" w:hAnsi="仿宋" w:eastAsia="仿宋" w:cs="仿宋"/>
          <w:sz w:val="32"/>
          <w:szCs w:val="32"/>
          <w:lang w:val="en-US" w:eastAsia="zh-CN"/>
        </w:rPr>
        <w:t>陕西亿晟房地产开发有限公司，成立于2010年04月16日，注册资本5000万元人民币，法定代表人：贠琪，经营状态为存续，工商注册编号为：91610400552183183H，注册地址为：陕西省咸阳市渭城区金旭路东城渭水湾1号楼1-001号，</w:t>
      </w:r>
      <w:r>
        <w:rPr>
          <w:rStyle w:val="37"/>
          <w:rFonts w:hint="eastAsia" w:ascii="仿宋" w:hAnsi="仿宋" w:eastAsia="仿宋" w:cs="仿宋"/>
          <w:sz w:val="32"/>
          <w:szCs w:val="32"/>
          <w:highlight w:val="none"/>
        </w:rPr>
        <w:t>经营范围包括房地产开发</w:t>
      </w:r>
      <w:r>
        <w:rPr>
          <w:rStyle w:val="37"/>
          <w:rFonts w:hint="eastAsia" w:ascii="仿宋" w:hAnsi="仿宋" w:eastAsia="仿宋" w:cs="仿宋"/>
          <w:sz w:val="32"/>
          <w:szCs w:val="32"/>
          <w:highlight w:val="none"/>
          <w:lang w:eastAsia="zh-CN"/>
        </w:rPr>
        <w:t>、</w:t>
      </w:r>
      <w:r>
        <w:rPr>
          <w:rStyle w:val="37"/>
          <w:rFonts w:hint="eastAsia" w:ascii="仿宋" w:hAnsi="仿宋" w:eastAsia="仿宋" w:cs="仿宋"/>
          <w:sz w:val="32"/>
          <w:szCs w:val="32"/>
          <w:highlight w:val="none"/>
          <w:lang w:val="en-US" w:eastAsia="zh-CN"/>
        </w:rPr>
        <w:t>销售</w:t>
      </w:r>
      <w:r>
        <w:rPr>
          <w:rStyle w:val="37"/>
          <w:rFonts w:hint="eastAsia" w:ascii="仿宋" w:hAnsi="仿宋" w:eastAsia="仿宋" w:cs="仿宋"/>
          <w:sz w:val="32"/>
          <w:szCs w:val="32"/>
          <w:highlight w:val="none"/>
        </w:rPr>
        <w:t>（依法须经批准的项目，经相关部门批准后方可开展经营活动，具体经营项目以相关部门批准文件或许可证件为准）</w:t>
      </w:r>
      <w:r>
        <w:rPr>
          <w:rStyle w:val="37"/>
          <w:rFonts w:hint="eastAsia" w:ascii="仿宋" w:hAnsi="仿宋" w:eastAsia="仿宋" w:cs="仿宋"/>
          <w:sz w:val="32"/>
          <w:szCs w:val="32"/>
          <w:highlight w:val="none"/>
          <w:lang w:eastAsia="zh-CN"/>
        </w:rPr>
        <w:t>。</w:t>
      </w:r>
    </w:p>
    <w:p w14:paraId="649437E2">
      <w:pPr>
        <w:rPr>
          <w:rFonts w:hint="eastAsia" w:ascii="仿宋" w:hAnsi="仿宋" w:eastAsia="仿宋" w:cs="仿宋"/>
          <w:sz w:val="32"/>
          <w:szCs w:val="32"/>
          <w:lang w:val="en-US" w:eastAsia="zh-CN"/>
        </w:rPr>
      </w:pPr>
    </w:p>
    <w:p w14:paraId="0BE43CF8">
      <w:pPr>
        <w:pStyle w:val="2"/>
        <w:numPr>
          <w:ilvl w:val="0"/>
          <w:numId w:val="0"/>
        </w:numPr>
        <w:ind w:firstLine="643"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二、东城</w:t>
      </w:r>
      <w:r>
        <w:rPr>
          <w:rFonts w:hint="eastAsia" w:ascii="仿宋" w:hAnsi="仿宋" w:eastAsia="仿宋" w:cs="仿宋"/>
          <w:sz w:val="32"/>
          <w:szCs w:val="32"/>
        </w:rPr>
        <w:t>渭水湾项目介绍</w:t>
      </w:r>
      <w:bookmarkEnd w:id="1"/>
    </w:p>
    <w:p w14:paraId="3C3DB1C6">
      <w:pPr>
        <w:spacing w:before="156" w:after="156"/>
        <w:ind w:firstLine="560"/>
        <w:rPr>
          <w:rFonts w:hint="eastAsia" w:ascii="仿宋" w:hAnsi="仿宋" w:eastAsia="仿宋" w:cs="仿宋"/>
          <w:sz w:val="32"/>
          <w:szCs w:val="32"/>
        </w:rPr>
      </w:pPr>
      <w:r>
        <w:rPr>
          <w:rFonts w:hint="eastAsia" w:ascii="仿宋" w:hAnsi="仿宋" w:eastAsia="仿宋" w:cs="仿宋"/>
          <w:sz w:val="32"/>
          <w:szCs w:val="32"/>
        </w:rPr>
        <w:t>金家庄村区域城中村改造项目是渭城区政府的重点棚户区改造项目，是咸阳市主城区的组成部分，是省政府提出的“大西安”建设的核心中轴区域，对推进西咸建设意义重大。渭城区政府紧紧围绕建设国际化大都市的目标，积极主动、攻坚克难，大力开展了城市的开发项目。本项目的建设在一定程度上，促进渭城区棚户区改造的步伐。并充分利用临近咸阳湖及沣渭湿地公园、城市铁路公园的环境优势，着力打造“绿色家园”，使其成为“特色生态人居社区”有效带动周边的消费需求，促进服务业发展。金家庄改造项目得到了市政府、渭城区政府的大力支持。该项目将渭城自然资源局和渭城计生局纳入金家庄改造项目三期总建筑面积约4.5万平方米，以整体提升城市形象和区域商业品质，为改善城市面貌和提升经济发展做出贡献。</w:t>
      </w:r>
    </w:p>
    <w:p w14:paraId="75F85CDA">
      <w:pPr>
        <w:spacing w:before="156" w:after="156"/>
        <w:ind w:firstLine="560"/>
        <w:rPr>
          <w:rFonts w:hint="eastAsia" w:ascii="仿宋" w:hAnsi="仿宋" w:eastAsia="仿宋" w:cs="仿宋"/>
          <w:sz w:val="32"/>
          <w:szCs w:val="32"/>
        </w:rPr>
      </w:pPr>
      <w:r>
        <w:rPr>
          <w:rFonts w:hint="eastAsia" w:ascii="仿宋" w:hAnsi="仿宋" w:eastAsia="仿宋" w:cs="仿宋"/>
          <w:sz w:val="32"/>
          <w:szCs w:val="32"/>
        </w:rPr>
        <w:t>项目</w:t>
      </w:r>
      <w:r>
        <w:rPr>
          <w:rFonts w:hint="eastAsia" w:ascii="仿宋" w:hAnsi="仿宋" w:eastAsia="仿宋" w:cs="仿宋"/>
          <w:sz w:val="32"/>
          <w:szCs w:val="32"/>
          <w:lang w:val="en-US" w:eastAsia="zh-CN"/>
        </w:rPr>
        <w:t>现</w:t>
      </w:r>
      <w:r>
        <w:rPr>
          <w:rFonts w:hint="eastAsia" w:ascii="仿宋" w:hAnsi="仿宋" w:eastAsia="仿宋" w:cs="仿宋"/>
          <w:sz w:val="32"/>
          <w:szCs w:val="32"/>
        </w:rPr>
        <w:t>总占地面积约63.8亩（其中一期5.44亩），</w:t>
      </w:r>
      <w:r>
        <w:rPr>
          <w:rFonts w:hint="eastAsia" w:ascii="仿宋" w:hAnsi="仿宋" w:eastAsia="仿宋" w:cs="仿宋"/>
          <w:sz w:val="32"/>
          <w:szCs w:val="32"/>
          <w:lang w:val="en-US" w:eastAsia="zh-CN"/>
        </w:rPr>
        <w:t>一期项目已于2018年交付使用。</w:t>
      </w:r>
      <w:r>
        <w:rPr>
          <w:rFonts w:hint="eastAsia" w:ascii="仿宋" w:hAnsi="仿宋" w:eastAsia="仿宋" w:cs="仿宋"/>
          <w:sz w:val="32"/>
          <w:szCs w:val="32"/>
        </w:rPr>
        <w:t>二期拆迁总建筑面积约4.5万平方米，涉及住户约180户。二期目前已拆迁完毕，总建设面积约220,000平方米，容积率5.3。公司已与咸阳自然资源局签订关于土地使用权的《成交确认书》，宗地使用权编号为XY-2022-5-01，土地面积：35,852.91万平方米（53.779亩），</w:t>
      </w:r>
      <w:r>
        <w:rPr>
          <w:rFonts w:hint="eastAsia" w:ascii="仿宋" w:hAnsi="仿宋" w:eastAsia="仿宋" w:cs="仿宋"/>
          <w:sz w:val="32"/>
          <w:szCs w:val="32"/>
          <w:lang w:val="en-US" w:eastAsia="zh-CN"/>
        </w:rPr>
        <w:t>并已取得</w:t>
      </w:r>
      <w:r>
        <w:rPr>
          <w:rFonts w:hint="eastAsia" w:ascii="仿宋" w:hAnsi="仿宋" w:eastAsia="仿宋" w:cs="仿宋"/>
          <w:sz w:val="32"/>
          <w:szCs w:val="32"/>
        </w:rPr>
        <w:t>土地使用权</w:t>
      </w:r>
      <w:r>
        <w:rPr>
          <w:rFonts w:hint="eastAsia" w:ascii="仿宋" w:hAnsi="仿宋" w:eastAsia="仿宋" w:cs="仿宋"/>
          <w:sz w:val="32"/>
          <w:szCs w:val="32"/>
          <w:lang w:val="en-US" w:eastAsia="zh-CN"/>
        </w:rPr>
        <w:t>证、建设用地规划许可证</w:t>
      </w:r>
      <w:r>
        <w:rPr>
          <w:rFonts w:hint="eastAsia" w:ascii="仿宋" w:hAnsi="仿宋" w:eastAsia="仿宋" w:cs="仿宋"/>
          <w:sz w:val="32"/>
          <w:szCs w:val="32"/>
        </w:rPr>
        <w:t>。二期土地分两批次开发，总用地面积53.779亩，第一批次开发占地约24亩，规划建设2#、3#、4#楼</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政府回购约400套，用于原居民安置用房，已缴纳定金；正查那个销售130余套，已缴纳定金</w:t>
      </w:r>
      <w:r>
        <w:rPr>
          <w:rFonts w:hint="eastAsia" w:ascii="仿宋" w:hAnsi="仿宋" w:eastAsia="仿宋" w:cs="仿宋"/>
          <w:sz w:val="32"/>
          <w:szCs w:val="32"/>
          <w:lang w:eastAsia="zh-CN"/>
        </w:rPr>
        <w:t>）</w:t>
      </w:r>
      <w:r>
        <w:rPr>
          <w:rFonts w:hint="eastAsia" w:ascii="仿宋" w:hAnsi="仿宋" w:eastAsia="仿宋" w:cs="仿宋"/>
          <w:sz w:val="32"/>
          <w:szCs w:val="32"/>
        </w:rPr>
        <w:t>，建筑面积110,759.03平方米；第二批次开发占地约29亩，规划建设5#、6#、7#、8#、9#楼，建筑面积112,411.24平方米。本次融资建设资金部分仅考虑第一批次2#、3#、4#楼。</w:t>
      </w:r>
    </w:p>
    <w:p w14:paraId="6AC6EA7E">
      <w:pPr>
        <w:spacing w:before="0" w:beforeLines="0" w:after="0" w:afterLines="0"/>
        <w:ind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605E3F17">
      <w:pPr>
        <w:spacing w:before="156" w:after="156"/>
        <w:ind w:firstLine="560"/>
        <w:rPr>
          <w:rFonts w:hint="eastAsia" w:ascii="仿宋" w:hAnsi="仿宋" w:eastAsia="仿宋" w:cs="仿宋"/>
          <w:sz w:val="32"/>
          <w:szCs w:val="32"/>
        </w:rPr>
      </w:pPr>
      <w:r>
        <w:rPr>
          <w:rFonts w:hint="eastAsia" w:ascii="仿宋" w:hAnsi="仿宋" w:eastAsia="仿宋" w:cs="仿宋"/>
          <w:sz w:val="32"/>
          <w:szCs w:val="32"/>
        </w:rPr>
        <w:t>项目定位中档、偏高楼盘，追求在咸阳地区体现新、奇、特的楼盘。项目住宅建筑及环境设计坚持“方便、安全、整洁、环保”，从改善小区微气候出发，充分发挥小区景观的居住功能，通过建设高品位，高质量的示范绿化空间环境，引导绿色住区建设，把一个舒适、美观、休闲、并有益于身心健康，充满活力的人居生态景观展现给未来的社区居民。</w:t>
      </w:r>
    </w:p>
    <w:p w14:paraId="486F2969">
      <w:pPr>
        <w:pStyle w:val="3"/>
        <w:rPr>
          <w:rFonts w:hint="eastAsia" w:ascii="仿宋" w:hAnsi="仿宋" w:eastAsia="仿宋" w:cs="仿宋"/>
          <w:sz w:val="32"/>
          <w:szCs w:val="32"/>
        </w:rPr>
      </w:pPr>
      <w:bookmarkStart w:id="2" w:name="_Toc124449035"/>
      <w:bookmarkEnd w:id="2"/>
      <w:bookmarkStart w:id="3" w:name="_Toc124449247"/>
      <w:bookmarkEnd w:id="3"/>
      <w:bookmarkStart w:id="4" w:name="_Toc124448896"/>
      <w:bookmarkEnd w:id="4"/>
      <w:bookmarkStart w:id="5" w:name="_Toc124449248"/>
      <w:bookmarkEnd w:id="5"/>
      <w:bookmarkStart w:id="6" w:name="_Toc124449252"/>
      <w:bookmarkEnd w:id="6"/>
      <w:bookmarkStart w:id="7" w:name="_Toc124449038"/>
      <w:bookmarkEnd w:id="7"/>
      <w:bookmarkStart w:id="8" w:name="_Toc124449108"/>
      <w:bookmarkEnd w:id="8"/>
      <w:bookmarkStart w:id="9" w:name="_Toc124449036"/>
      <w:bookmarkEnd w:id="9"/>
      <w:bookmarkStart w:id="10" w:name="_Toc124449249"/>
      <w:bookmarkEnd w:id="10"/>
      <w:bookmarkStart w:id="11" w:name="_Toc124449251"/>
      <w:bookmarkEnd w:id="11"/>
      <w:bookmarkStart w:id="12" w:name="_Toc124449245"/>
      <w:bookmarkEnd w:id="12"/>
      <w:bookmarkStart w:id="13" w:name="_Toc124449246"/>
      <w:bookmarkEnd w:id="13"/>
      <w:bookmarkStart w:id="14" w:name="_Toc124449109"/>
      <w:bookmarkEnd w:id="14"/>
      <w:bookmarkStart w:id="15" w:name="_Toc124448894"/>
      <w:bookmarkEnd w:id="15"/>
      <w:bookmarkStart w:id="16" w:name="_Toc124449033"/>
      <w:bookmarkEnd w:id="16"/>
      <w:bookmarkStart w:id="17" w:name="_Toc124448895"/>
      <w:bookmarkEnd w:id="17"/>
      <w:bookmarkStart w:id="18" w:name="_Toc124449032"/>
      <w:bookmarkEnd w:id="18"/>
      <w:bookmarkStart w:id="19" w:name="_Toc124449039"/>
      <w:bookmarkEnd w:id="19"/>
      <w:bookmarkStart w:id="20" w:name="_Toc124449034"/>
      <w:bookmarkEnd w:id="20"/>
      <w:bookmarkStart w:id="21" w:name="_Toc124449250"/>
      <w:bookmarkEnd w:id="21"/>
      <w:bookmarkStart w:id="22" w:name="_Toc124449037"/>
      <w:bookmarkEnd w:id="22"/>
      <w:bookmarkStart w:id="23" w:name="_Toc124449107"/>
      <w:bookmarkEnd w:id="23"/>
      <w:bookmarkStart w:id="24" w:name="_Toc124449253"/>
      <w:r>
        <w:rPr>
          <w:rFonts w:hint="eastAsia" w:ascii="仿宋" w:hAnsi="仿宋" w:eastAsia="仿宋" w:cs="仿宋"/>
          <w:sz w:val="32"/>
          <w:szCs w:val="32"/>
        </w:rPr>
        <w:t>项目区位分析</w:t>
      </w:r>
      <w:bookmarkEnd w:id="24"/>
    </w:p>
    <w:p w14:paraId="25584A56">
      <w:pPr>
        <w:spacing w:before="156" w:after="156"/>
        <w:ind w:firstLine="567" w:firstLineChars="0"/>
        <w:outlineLvl w:val="2"/>
        <w:rPr>
          <w:rFonts w:hint="eastAsia" w:ascii="仿宋" w:hAnsi="仿宋" w:eastAsia="仿宋" w:cs="仿宋"/>
          <w:sz w:val="32"/>
          <w:szCs w:val="32"/>
        </w:rPr>
      </w:pPr>
      <w:bookmarkStart w:id="25" w:name="_Toc124449254"/>
      <w:bookmarkStart w:id="26" w:name="_Toc57627484"/>
      <w:r>
        <w:rPr>
          <w:rFonts w:hint="eastAsia" w:ascii="仿宋" w:hAnsi="仿宋" w:eastAsia="仿宋" w:cs="仿宋"/>
          <w:sz w:val="32"/>
          <w:szCs w:val="32"/>
        </w:rPr>
        <w:t>1、项目区位</w:t>
      </w:r>
      <w:bookmarkEnd w:id="25"/>
      <w:bookmarkEnd w:id="26"/>
    </w:p>
    <w:p w14:paraId="17CAAE92">
      <w:pPr>
        <w:spacing w:before="156" w:after="156"/>
        <w:ind w:firstLine="560"/>
        <w:rPr>
          <w:rFonts w:hint="eastAsia" w:ascii="仿宋" w:hAnsi="仿宋" w:eastAsia="仿宋" w:cs="仿宋"/>
          <w:sz w:val="32"/>
          <w:szCs w:val="32"/>
        </w:rPr>
      </w:pPr>
      <w:r>
        <w:rPr>
          <w:rFonts w:hint="eastAsia" w:ascii="仿宋" w:hAnsi="仿宋" w:eastAsia="仿宋" w:cs="仿宋"/>
          <w:sz w:val="32"/>
          <w:szCs w:val="32"/>
        </w:rPr>
        <w:t>项目位于咸阳市主城渭城区金旭路，东郊水厂以北，渭城区土地局，渭城区计生委以西，老咸铜铁路以东，市源利房地产以南的位置。项目位西朝东。小区大门直接与金旭路相通，交通十分便捷，车流量和人流量较大，项目周边聚集多条公交线路，构成项目所处区域快捷方便的公共交通系统。项目位置与规划中的西安地铁11号线“古渡”站相距约2.3公里、西安地铁1号线森林公园站相聚2.4公里。交通十分便捷，区位及交通优势非常明显。</w:t>
      </w:r>
    </w:p>
    <w:p w14:paraId="28A75123">
      <w:pPr>
        <w:spacing w:before="156" w:after="156"/>
        <w:ind w:firstLine="567" w:firstLineChars="0"/>
        <w:outlineLvl w:val="2"/>
        <w:rPr>
          <w:rFonts w:hint="eastAsia" w:ascii="仿宋" w:hAnsi="仿宋" w:eastAsia="仿宋" w:cs="仿宋"/>
          <w:sz w:val="32"/>
          <w:szCs w:val="32"/>
        </w:rPr>
      </w:pPr>
      <w:bookmarkStart w:id="27" w:name="_Toc124449255"/>
      <w:bookmarkStart w:id="28" w:name="_Toc57627485"/>
      <w:r>
        <w:rPr>
          <w:rFonts w:hint="eastAsia" w:ascii="仿宋" w:hAnsi="仿宋" w:eastAsia="仿宋" w:cs="仿宋"/>
          <w:sz w:val="32"/>
          <w:szCs w:val="32"/>
        </w:rPr>
        <w:t>2、项目周边配套情况</w:t>
      </w:r>
      <w:bookmarkEnd w:id="27"/>
      <w:bookmarkEnd w:id="28"/>
    </w:p>
    <w:p w14:paraId="536B47E0">
      <w:pPr>
        <w:spacing w:before="156" w:after="156"/>
        <w:ind w:firstLine="0" w:firstLineChars="0"/>
        <w:jc w:val="center"/>
        <w:rPr>
          <w:rFonts w:hint="eastAsia" w:ascii="仿宋" w:hAnsi="仿宋" w:eastAsia="仿宋" w:cs="仿宋"/>
          <w:sz w:val="32"/>
          <w:szCs w:val="32"/>
        </w:rPr>
      </w:pPr>
      <w:r>
        <w:rPr>
          <w:rFonts w:hint="eastAsia" w:ascii="仿宋" w:hAnsi="仿宋" w:eastAsia="仿宋" w:cs="仿宋"/>
          <w:sz w:val="32"/>
          <w:szCs w:val="32"/>
        </w:rPr>
        <w:t>图：项目区位图</w:t>
      </w:r>
    </w:p>
    <w:p w14:paraId="73EA94C4">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9560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07277002">
      <w:pPr>
        <w:spacing w:before="0" w:beforeLines="0" w:after="0" w:afterLines="0" w:line="240" w:lineRule="auto"/>
        <w:ind w:firstLine="0" w:firstLineChars="0"/>
        <w:rPr>
          <w:rFonts w:hint="eastAsia" w:ascii="仿宋" w:hAnsi="仿宋" w:eastAsia="仿宋" w:cs="仿宋"/>
          <w:sz w:val="32"/>
          <w:szCs w:val="32"/>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25"/>
      </w:tblGrid>
      <w:tr w14:paraId="111F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1" w:type="dxa"/>
            <w:vAlign w:val="center"/>
          </w:tcPr>
          <w:p w14:paraId="4EA4EA91">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生活配套</w:t>
            </w:r>
          </w:p>
        </w:tc>
        <w:tc>
          <w:tcPr>
            <w:tcW w:w="7025" w:type="dxa"/>
            <w:vAlign w:val="center"/>
          </w:tcPr>
          <w:p w14:paraId="35B02BCD">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配套名称</w:t>
            </w:r>
          </w:p>
        </w:tc>
      </w:tr>
      <w:tr w14:paraId="3F7D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3254BF94">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学校</w:t>
            </w:r>
          </w:p>
        </w:tc>
        <w:tc>
          <w:tcPr>
            <w:tcW w:w="7025" w:type="dxa"/>
            <w:vAlign w:val="center"/>
          </w:tcPr>
          <w:p w14:paraId="6C5F28E0">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咸阳长庆子弟学校、西藏民族大学附属中学小学、咸阳市水电学校、渭城区塔尔坡学校、渭城区第二初级中学、咸阳市渭城中学、渭城区建国路小学、咸阳民盟中学、咸阳中学、西藏民族大学附属中学、咸阳华星中学</w:t>
            </w:r>
          </w:p>
        </w:tc>
      </w:tr>
      <w:tr w14:paraId="75A0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2C8F70D0">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交通</w:t>
            </w:r>
          </w:p>
        </w:tc>
        <w:tc>
          <w:tcPr>
            <w:tcW w:w="7025" w:type="dxa"/>
            <w:vAlign w:val="center"/>
          </w:tcPr>
          <w:p w14:paraId="2A3B89C7">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西安地铁1号线森林公园站、西安地铁11号线古渡站（规划中）</w:t>
            </w:r>
          </w:p>
        </w:tc>
      </w:tr>
      <w:tr w14:paraId="1C14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547161B0">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商业</w:t>
            </w:r>
          </w:p>
        </w:tc>
        <w:tc>
          <w:tcPr>
            <w:tcW w:w="7025" w:type="dxa"/>
            <w:vAlign w:val="center"/>
          </w:tcPr>
          <w:p w14:paraId="1FB32C39">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人人乐、中储轻工商贸城、康丽商场、华购超市、万国家具大厦</w:t>
            </w:r>
          </w:p>
        </w:tc>
      </w:tr>
      <w:tr w14:paraId="2097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2A8F6E69">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医院</w:t>
            </w:r>
          </w:p>
        </w:tc>
        <w:tc>
          <w:tcPr>
            <w:tcW w:w="7025" w:type="dxa"/>
            <w:vAlign w:val="center"/>
          </w:tcPr>
          <w:p w14:paraId="183A643C">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咸阳市中心医院、延安大学咸阳医院、西藏民族大学附属医院、咸阳市水电医院、咸阳市新博爱医院、渭城区滨河社区卫生服务站</w:t>
            </w:r>
          </w:p>
        </w:tc>
      </w:tr>
      <w:tr w14:paraId="0C3F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6EBB4323">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b/>
                <w:color w:val="000000"/>
                <w:sz w:val="32"/>
                <w:szCs w:val="32"/>
              </w:rPr>
              <w:t>景观配套</w:t>
            </w:r>
          </w:p>
        </w:tc>
        <w:tc>
          <w:tcPr>
            <w:tcW w:w="7025" w:type="dxa"/>
            <w:vAlign w:val="center"/>
          </w:tcPr>
          <w:p w14:paraId="00C9DFC3">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渭河湿地公园、渭城城市铁路公园、咸阳市古渡公园</w:t>
            </w:r>
          </w:p>
        </w:tc>
      </w:tr>
    </w:tbl>
    <w:p w14:paraId="7C7A155D">
      <w:pPr>
        <w:spacing w:before="156" w:after="156" w:line="240" w:lineRule="auto"/>
        <w:ind w:firstLine="0" w:firstLineChars="0"/>
        <w:rPr>
          <w:rFonts w:hint="eastAsia" w:ascii="仿宋" w:hAnsi="仿宋" w:eastAsia="仿宋" w:cs="仿宋"/>
          <w:sz w:val="32"/>
          <w:szCs w:val="32"/>
        </w:rPr>
      </w:pPr>
    </w:p>
    <w:p w14:paraId="5BABD341">
      <w:pPr>
        <w:pStyle w:val="3"/>
        <w:rPr>
          <w:rFonts w:hint="eastAsia" w:ascii="仿宋" w:hAnsi="仿宋" w:eastAsia="仿宋" w:cs="仿宋"/>
          <w:sz w:val="32"/>
          <w:szCs w:val="32"/>
        </w:rPr>
      </w:pPr>
      <w:bookmarkStart w:id="29" w:name="_Toc124449257"/>
      <w:r>
        <w:rPr>
          <w:rFonts w:hint="eastAsia" w:ascii="仿宋" w:hAnsi="仿宋" w:eastAsia="仿宋" w:cs="仿宋"/>
          <w:sz w:val="32"/>
          <w:szCs w:val="32"/>
        </w:rPr>
        <w:t>项目</w:t>
      </w:r>
      <w:r>
        <w:rPr>
          <w:rFonts w:hint="eastAsia" w:ascii="仿宋" w:hAnsi="仿宋" w:eastAsia="仿宋" w:cs="仿宋"/>
          <w:sz w:val="32"/>
          <w:szCs w:val="32"/>
          <w:lang w:val="en-US" w:eastAsia="zh-CN"/>
        </w:rPr>
        <w:t>二期</w:t>
      </w:r>
      <w:r>
        <w:rPr>
          <w:rFonts w:hint="eastAsia" w:ascii="仿宋" w:hAnsi="仿宋" w:eastAsia="仿宋" w:cs="仿宋"/>
          <w:sz w:val="32"/>
          <w:szCs w:val="32"/>
        </w:rPr>
        <w:t>技术指标</w:t>
      </w:r>
      <w:bookmarkEnd w:id="29"/>
    </w:p>
    <w:tbl>
      <w:tblPr>
        <w:tblStyle w:val="15"/>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 w:type="dxa"/>
          <w:bottom w:w="0" w:type="dxa"/>
          <w:right w:w="10" w:type="dxa"/>
        </w:tblCellMar>
      </w:tblPr>
      <w:tblGrid>
        <w:gridCol w:w="1069"/>
        <w:gridCol w:w="1359"/>
        <w:gridCol w:w="2156"/>
        <w:gridCol w:w="1046"/>
        <w:gridCol w:w="2696"/>
      </w:tblGrid>
      <w:tr w14:paraId="6D1576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blHeader/>
        </w:trPr>
        <w:tc>
          <w:tcPr>
            <w:tcW w:w="2753" w:type="pct"/>
            <w:gridSpan w:val="3"/>
            <w:vAlign w:val="center"/>
          </w:tcPr>
          <w:p w14:paraId="2FC1342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项目</w:t>
            </w:r>
          </w:p>
        </w:tc>
        <w:tc>
          <w:tcPr>
            <w:tcW w:w="628" w:type="pct"/>
            <w:vAlign w:val="center"/>
          </w:tcPr>
          <w:p w14:paraId="5BC327A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计量单位</w:t>
            </w:r>
          </w:p>
        </w:tc>
        <w:tc>
          <w:tcPr>
            <w:tcW w:w="1619" w:type="pct"/>
            <w:vAlign w:val="center"/>
          </w:tcPr>
          <w:p w14:paraId="34AB7BAD">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数值</w:t>
            </w:r>
          </w:p>
        </w:tc>
      </w:tr>
      <w:tr w14:paraId="28844B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75A2C5A9">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总用地面积（含代征地）：</w:t>
            </w:r>
          </w:p>
        </w:tc>
        <w:tc>
          <w:tcPr>
            <w:tcW w:w="628" w:type="pct"/>
            <w:vAlign w:val="center"/>
          </w:tcPr>
          <w:p w14:paraId="2B4B9E2C">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22F21D55">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39739.08(约59.608亩)</w:t>
            </w:r>
          </w:p>
        </w:tc>
      </w:tr>
      <w:tr w14:paraId="483F73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restart"/>
            <w:vAlign w:val="center"/>
          </w:tcPr>
          <w:p w14:paraId="606AFD78">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其中</w:t>
            </w:r>
          </w:p>
        </w:tc>
        <w:tc>
          <w:tcPr>
            <w:tcW w:w="2111" w:type="pct"/>
            <w:gridSpan w:val="2"/>
            <w:vAlign w:val="center"/>
          </w:tcPr>
          <w:p w14:paraId="761E6B1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建设地面积：</w:t>
            </w:r>
          </w:p>
        </w:tc>
        <w:tc>
          <w:tcPr>
            <w:tcW w:w="628" w:type="pct"/>
            <w:vAlign w:val="center"/>
          </w:tcPr>
          <w:p w14:paraId="68DB7EEF">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5C75D7BD">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35852.91（约53.779亩)</w:t>
            </w:r>
          </w:p>
        </w:tc>
      </w:tr>
      <w:tr w14:paraId="56DDB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549F95CF">
            <w:pPr>
              <w:spacing w:before="0" w:beforeLines="0" w:after="0" w:afterLines="0" w:line="240" w:lineRule="auto"/>
              <w:ind w:firstLine="0" w:firstLineChars="0"/>
              <w:rPr>
                <w:rFonts w:hint="eastAsia" w:ascii="仿宋" w:hAnsi="仿宋" w:eastAsia="仿宋" w:cs="仿宋"/>
                <w:sz w:val="32"/>
                <w:szCs w:val="32"/>
              </w:rPr>
            </w:pPr>
          </w:p>
        </w:tc>
        <w:tc>
          <w:tcPr>
            <w:tcW w:w="2111" w:type="pct"/>
            <w:gridSpan w:val="2"/>
            <w:vAlign w:val="center"/>
          </w:tcPr>
          <w:p w14:paraId="4E7DF77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代征绿地面积：</w:t>
            </w:r>
          </w:p>
        </w:tc>
        <w:tc>
          <w:tcPr>
            <w:tcW w:w="628" w:type="pct"/>
            <w:vAlign w:val="center"/>
          </w:tcPr>
          <w:p w14:paraId="2BF956A5">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01AE3E3B">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3614.84(约5.422亩)</w:t>
            </w:r>
          </w:p>
        </w:tc>
      </w:tr>
      <w:tr w14:paraId="381621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6EBA42E9">
            <w:pPr>
              <w:spacing w:before="0" w:beforeLines="0" w:after="0" w:afterLines="0" w:line="240" w:lineRule="auto"/>
              <w:ind w:firstLine="0" w:firstLineChars="0"/>
              <w:rPr>
                <w:rFonts w:hint="eastAsia" w:ascii="仿宋" w:hAnsi="仿宋" w:eastAsia="仿宋" w:cs="仿宋"/>
                <w:sz w:val="32"/>
                <w:szCs w:val="32"/>
              </w:rPr>
            </w:pPr>
          </w:p>
        </w:tc>
        <w:tc>
          <w:tcPr>
            <w:tcW w:w="2111" w:type="pct"/>
            <w:gridSpan w:val="2"/>
            <w:vAlign w:val="center"/>
          </w:tcPr>
          <w:p w14:paraId="7C7BD73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代征路面积：</w:t>
            </w:r>
          </w:p>
        </w:tc>
        <w:tc>
          <w:tcPr>
            <w:tcW w:w="628" w:type="pct"/>
            <w:vAlign w:val="center"/>
          </w:tcPr>
          <w:p w14:paraId="0883799D">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7CD16A0B">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271.33(约0.407亩)</w:t>
            </w:r>
          </w:p>
        </w:tc>
      </w:tr>
      <w:tr w14:paraId="157EE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73ACE42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总建筑面积：</w:t>
            </w:r>
          </w:p>
        </w:tc>
        <w:tc>
          <w:tcPr>
            <w:tcW w:w="628" w:type="pct"/>
            <w:vAlign w:val="center"/>
          </w:tcPr>
          <w:p w14:paraId="20D64A39">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75D334F5">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223170.27</w:t>
            </w:r>
          </w:p>
        </w:tc>
      </w:tr>
      <w:tr w14:paraId="02D21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restart"/>
            <w:vAlign w:val="center"/>
          </w:tcPr>
          <w:p w14:paraId="51A2A978">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其中</w:t>
            </w:r>
          </w:p>
        </w:tc>
        <w:tc>
          <w:tcPr>
            <w:tcW w:w="2111" w:type="pct"/>
            <w:gridSpan w:val="2"/>
            <w:vAlign w:val="center"/>
          </w:tcPr>
          <w:p w14:paraId="365944E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地上建筑面积</w:t>
            </w:r>
          </w:p>
        </w:tc>
        <w:tc>
          <w:tcPr>
            <w:tcW w:w="628" w:type="pct"/>
            <w:vAlign w:val="center"/>
          </w:tcPr>
          <w:p w14:paraId="260205F4">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35A729EF">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190568.71</w:t>
            </w:r>
          </w:p>
        </w:tc>
      </w:tr>
      <w:tr w14:paraId="2A124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6CE59A75">
            <w:pPr>
              <w:spacing w:before="0" w:beforeLines="0" w:after="0" w:afterLines="0" w:line="240" w:lineRule="auto"/>
              <w:ind w:firstLine="0" w:firstLineChars="0"/>
              <w:rPr>
                <w:rFonts w:hint="eastAsia" w:ascii="仿宋" w:hAnsi="仿宋" w:eastAsia="仿宋" w:cs="仿宋"/>
                <w:sz w:val="32"/>
                <w:szCs w:val="32"/>
              </w:rPr>
            </w:pPr>
          </w:p>
        </w:tc>
        <w:tc>
          <w:tcPr>
            <w:tcW w:w="816" w:type="pct"/>
            <w:vMerge w:val="restart"/>
            <w:vAlign w:val="center"/>
          </w:tcPr>
          <w:p w14:paraId="0C343F6B">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其中</w:t>
            </w:r>
          </w:p>
        </w:tc>
        <w:tc>
          <w:tcPr>
            <w:tcW w:w="1295" w:type="pct"/>
            <w:vAlign w:val="center"/>
          </w:tcPr>
          <w:p w14:paraId="17AA38C7">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商业：</w:t>
            </w:r>
          </w:p>
        </w:tc>
        <w:tc>
          <w:tcPr>
            <w:tcW w:w="628" w:type="pct"/>
            <w:vAlign w:val="center"/>
          </w:tcPr>
          <w:p w14:paraId="2C2B5277">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6A321E46">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7115.00</w:t>
            </w:r>
          </w:p>
        </w:tc>
      </w:tr>
      <w:tr w14:paraId="17802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214C087A">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49B2DC6E">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5AE25A37">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住宅：</w:t>
            </w:r>
          </w:p>
        </w:tc>
        <w:tc>
          <w:tcPr>
            <w:tcW w:w="628" w:type="pct"/>
            <w:vAlign w:val="center"/>
          </w:tcPr>
          <w:p w14:paraId="79E7F997">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39BEEB7D">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182006.71</w:t>
            </w:r>
          </w:p>
        </w:tc>
      </w:tr>
      <w:tr w14:paraId="3C519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3BA69178">
            <w:pPr>
              <w:spacing w:before="0" w:beforeLines="0" w:after="0" w:afterLines="0" w:line="240" w:lineRule="auto"/>
              <w:ind w:firstLine="0" w:firstLineChars="0"/>
              <w:rPr>
                <w:rFonts w:hint="eastAsia" w:ascii="仿宋" w:hAnsi="仿宋" w:eastAsia="仿宋" w:cs="仿宋"/>
                <w:sz w:val="32"/>
                <w:szCs w:val="32"/>
              </w:rPr>
            </w:pPr>
          </w:p>
        </w:tc>
        <w:tc>
          <w:tcPr>
            <w:tcW w:w="816" w:type="pct"/>
            <w:vMerge w:val="restart"/>
            <w:vAlign w:val="center"/>
          </w:tcPr>
          <w:p w14:paraId="31E275DC">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配套用房</w:t>
            </w:r>
          </w:p>
        </w:tc>
        <w:tc>
          <w:tcPr>
            <w:tcW w:w="1295" w:type="pct"/>
            <w:vAlign w:val="center"/>
          </w:tcPr>
          <w:p w14:paraId="3A0524B3">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社区服务用房</w:t>
            </w:r>
          </w:p>
        </w:tc>
        <w:tc>
          <w:tcPr>
            <w:tcW w:w="628" w:type="pct"/>
            <w:vAlign w:val="center"/>
          </w:tcPr>
          <w:p w14:paraId="6BC72AE0">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7676BC79">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215</w:t>
            </w:r>
          </w:p>
        </w:tc>
      </w:tr>
      <w:tr w14:paraId="6CB15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679B9C6A">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4F2B2919">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5EE7EB06">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物业管理用房</w:t>
            </w:r>
          </w:p>
        </w:tc>
        <w:tc>
          <w:tcPr>
            <w:tcW w:w="628" w:type="pct"/>
            <w:vAlign w:val="center"/>
          </w:tcPr>
          <w:p w14:paraId="718A2B36">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1D113069">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560</w:t>
            </w:r>
          </w:p>
        </w:tc>
      </w:tr>
      <w:tr w14:paraId="0F24E0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3AF507ED">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39483FC7">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1E67EA8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养老服务用房</w:t>
            </w:r>
          </w:p>
        </w:tc>
        <w:tc>
          <w:tcPr>
            <w:tcW w:w="628" w:type="pct"/>
            <w:vAlign w:val="center"/>
          </w:tcPr>
          <w:p w14:paraId="6CEE3EE4">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437697C7">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250</w:t>
            </w:r>
          </w:p>
        </w:tc>
      </w:tr>
      <w:tr w14:paraId="76494E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260F074F">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4AD6425C">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2965D1FC">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公厕垃圾回收站</w:t>
            </w:r>
          </w:p>
        </w:tc>
        <w:tc>
          <w:tcPr>
            <w:tcW w:w="628" w:type="pct"/>
            <w:vAlign w:val="center"/>
          </w:tcPr>
          <w:p w14:paraId="38B13CA2">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1B398395">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80</w:t>
            </w:r>
          </w:p>
        </w:tc>
      </w:tr>
      <w:tr w14:paraId="70704E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0EE0DE02">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10E0E7AF">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690D1594">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其它</w:t>
            </w:r>
          </w:p>
        </w:tc>
        <w:tc>
          <w:tcPr>
            <w:tcW w:w="628" w:type="pct"/>
            <w:vAlign w:val="center"/>
          </w:tcPr>
          <w:p w14:paraId="5F800441">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456E7E17">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342</w:t>
            </w:r>
          </w:p>
        </w:tc>
      </w:tr>
      <w:tr w14:paraId="0299C7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59CCB559">
            <w:pPr>
              <w:spacing w:before="0" w:beforeLines="0" w:after="0" w:afterLines="0" w:line="240" w:lineRule="auto"/>
              <w:ind w:firstLine="0" w:firstLineChars="0"/>
              <w:rPr>
                <w:rFonts w:hint="eastAsia" w:ascii="仿宋" w:hAnsi="仿宋" w:eastAsia="仿宋" w:cs="仿宋"/>
                <w:sz w:val="32"/>
                <w:szCs w:val="32"/>
              </w:rPr>
            </w:pPr>
          </w:p>
        </w:tc>
        <w:tc>
          <w:tcPr>
            <w:tcW w:w="2111" w:type="pct"/>
            <w:gridSpan w:val="2"/>
            <w:vAlign w:val="center"/>
          </w:tcPr>
          <w:p w14:paraId="4448BCA6">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地下建筑面积：</w:t>
            </w:r>
          </w:p>
        </w:tc>
        <w:tc>
          <w:tcPr>
            <w:tcW w:w="628" w:type="pct"/>
            <w:vAlign w:val="center"/>
          </w:tcPr>
          <w:p w14:paraId="741FB866">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704085A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32601.56</w:t>
            </w:r>
          </w:p>
        </w:tc>
      </w:tr>
      <w:tr w14:paraId="4F8FCC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3E4A01BB">
            <w:pPr>
              <w:spacing w:before="0" w:beforeLines="0" w:after="0" w:afterLines="0" w:line="240" w:lineRule="auto"/>
              <w:ind w:firstLine="0" w:firstLineChars="0"/>
              <w:rPr>
                <w:rFonts w:hint="eastAsia" w:ascii="仿宋" w:hAnsi="仿宋" w:eastAsia="仿宋" w:cs="仿宋"/>
                <w:sz w:val="32"/>
                <w:szCs w:val="32"/>
              </w:rPr>
            </w:pPr>
          </w:p>
        </w:tc>
        <w:tc>
          <w:tcPr>
            <w:tcW w:w="816" w:type="pct"/>
            <w:vMerge w:val="restart"/>
            <w:vAlign w:val="center"/>
          </w:tcPr>
          <w:p w14:paraId="6169697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其中</w:t>
            </w:r>
          </w:p>
        </w:tc>
        <w:tc>
          <w:tcPr>
            <w:tcW w:w="1295" w:type="pct"/>
            <w:vAlign w:val="center"/>
          </w:tcPr>
          <w:p w14:paraId="1DB5D08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地下车库建筑面积</w:t>
            </w:r>
          </w:p>
        </w:tc>
        <w:tc>
          <w:tcPr>
            <w:tcW w:w="628" w:type="pct"/>
            <w:vAlign w:val="center"/>
          </w:tcPr>
          <w:p w14:paraId="754D58DC">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3B1D81B9">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23574.00</w:t>
            </w:r>
          </w:p>
        </w:tc>
      </w:tr>
      <w:tr w14:paraId="348816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vAlign w:val="center"/>
          </w:tcPr>
          <w:p w14:paraId="66BEF28B">
            <w:pPr>
              <w:spacing w:before="0" w:beforeLines="0" w:after="0" w:afterLines="0" w:line="240" w:lineRule="auto"/>
              <w:ind w:firstLine="0" w:firstLineChars="0"/>
              <w:rPr>
                <w:rFonts w:hint="eastAsia" w:ascii="仿宋" w:hAnsi="仿宋" w:eastAsia="仿宋" w:cs="仿宋"/>
                <w:sz w:val="32"/>
                <w:szCs w:val="32"/>
              </w:rPr>
            </w:pPr>
          </w:p>
        </w:tc>
        <w:tc>
          <w:tcPr>
            <w:tcW w:w="816" w:type="pct"/>
            <w:vMerge w:val="continue"/>
            <w:vAlign w:val="center"/>
          </w:tcPr>
          <w:p w14:paraId="68EB8FBE">
            <w:pPr>
              <w:spacing w:before="0" w:beforeLines="0" w:after="0" w:afterLines="0" w:line="240" w:lineRule="auto"/>
              <w:ind w:firstLine="0" w:firstLineChars="0"/>
              <w:rPr>
                <w:rFonts w:hint="eastAsia" w:ascii="仿宋" w:hAnsi="仿宋" w:eastAsia="仿宋" w:cs="仿宋"/>
                <w:sz w:val="32"/>
                <w:szCs w:val="32"/>
              </w:rPr>
            </w:pPr>
          </w:p>
        </w:tc>
        <w:tc>
          <w:tcPr>
            <w:tcW w:w="1295" w:type="pct"/>
            <w:vAlign w:val="center"/>
          </w:tcPr>
          <w:p w14:paraId="335A682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地下配套设施面积</w:t>
            </w:r>
          </w:p>
        </w:tc>
        <w:tc>
          <w:tcPr>
            <w:tcW w:w="628" w:type="pct"/>
            <w:vAlign w:val="center"/>
          </w:tcPr>
          <w:p w14:paraId="5F3622BF">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257D64C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9027.56</w:t>
            </w:r>
          </w:p>
        </w:tc>
      </w:tr>
      <w:tr w14:paraId="53E5E1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4F762F74">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居住总户数</w:t>
            </w:r>
          </w:p>
        </w:tc>
        <w:tc>
          <w:tcPr>
            <w:tcW w:w="628" w:type="pct"/>
            <w:vAlign w:val="center"/>
          </w:tcPr>
          <w:p w14:paraId="1EDDAA5E">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户</w:t>
            </w:r>
          </w:p>
        </w:tc>
        <w:tc>
          <w:tcPr>
            <w:tcW w:w="1619" w:type="pct"/>
            <w:vAlign w:val="center"/>
          </w:tcPr>
          <w:p w14:paraId="0648D335">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1349</w:t>
            </w:r>
          </w:p>
        </w:tc>
      </w:tr>
      <w:tr w14:paraId="2E08E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4D248AA6">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居住总人数(每户3.2人)</w:t>
            </w:r>
          </w:p>
        </w:tc>
        <w:tc>
          <w:tcPr>
            <w:tcW w:w="628" w:type="pct"/>
            <w:vAlign w:val="center"/>
          </w:tcPr>
          <w:p w14:paraId="7505ADF8">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人)</w:t>
            </w:r>
          </w:p>
        </w:tc>
        <w:tc>
          <w:tcPr>
            <w:tcW w:w="1619" w:type="pct"/>
            <w:vAlign w:val="center"/>
          </w:tcPr>
          <w:p w14:paraId="30C2C6AD">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4316</w:t>
            </w:r>
          </w:p>
        </w:tc>
      </w:tr>
      <w:tr w14:paraId="61EC6E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526C207F">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建筑计容面积</w:t>
            </w:r>
          </w:p>
        </w:tc>
        <w:tc>
          <w:tcPr>
            <w:tcW w:w="628" w:type="pct"/>
            <w:vAlign w:val="center"/>
          </w:tcPr>
          <w:p w14:paraId="5E7A84DA">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424088C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190568.71</w:t>
            </w:r>
          </w:p>
        </w:tc>
      </w:tr>
      <w:tr w14:paraId="7C3918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7B4B8BA8">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建筑基底面积</w:t>
            </w:r>
          </w:p>
        </w:tc>
        <w:tc>
          <w:tcPr>
            <w:tcW w:w="628" w:type="pct"/>
            <w:vAlign w:val="center"/>
          </w:tcPr>
          <w:p w14:paraId="09BCF222">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M²</w:t>
            </w:r>
          </w:p>
        </w:tc>
        <w:tc>
          <w:tcPr>
            <w:tcW w:w="1619" w:type="pct"/>
            <w:vAlign w:val="center"/>
          </w:tcPr>
          <w:p w14:paraId="60A79F8D">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9267.29</w:t>
            </w:r>
          </w:p>
        </w:tc>
      </w:tr>
      <w:tr w14:paraId="3078C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2C08B53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容积率</w:t>
            </w:r>
          </w:p>
        </w:tc>
        <w:tc>
          <w:tcPr>
            <w:tcW w:w="628" w:type="pct"/>
            <w:vAlign w:val="center"/>
          </w:tcPr>
          <w:p w14:paraId="7250935A">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w:t>
            </w:r>
          </w:p>
        </w:tc>
        <w:tc>
          <w:tcPr>
            <w:tcW w:w="1619" w:type="pct"/>
            <w:vAlign w:val="center"/>
          </w:tcPr>
          <w:p w14:paraId="18D92BA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5.315</w:t>
            </w:r>
          </w:p>
        </w:tc>
      </w:tr>
      <w:tr w14:paraId="4623E4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7C58D42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建筑密度：</w:t>
            </w:r>
          </w:p>
        </w:tc>
        <w:tc>
          <w:tcPr>
            <w:tcW w:w="628" w:type="pct"/>
            <w:vAlign w:val="center"/>
          </w:tcPr>
          <w:p w14:paraId="58639C7B">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w:t>
            </w:r>
          </w:p>
        </w:tc>
        <w:tc>
          <w:tcPr>
            <w:tcW w:w="1619" w:type="pct"/>
            <w:vAlign w:val="center"/>
          </w:tcPr>
          <w:p w14:paraId="49E2C8E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25.85</w:t>
            </w:r>
          </w:p>
        </w:tc>
      </w:tr>
      <w:tr w14:paraId="318A9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65E99426">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绿地率：</w:t>
            </w:r>
          </w:p>
        </w:tc>
        <w:tc>
          <w:tcPr>
            <w:tcW w:w="628" w:type="pct"/>
            <w:vAlign w:val="center"/>
          </w:tcPr>
          <w:p w14:paraId="5BF5080F">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w:t>
            </w:r>
          </w:p>
        </w:tc>
        <w:tc>
          <w:tcPr>
            <w:tcW w:w="1619" w:type="pct"/>
            <w:vAlign w:val="center"/>
          </w:tcPr>
          <w:p w14:paraId="3B0FD5AB">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30.23</w:t>
            </w:r>
          </w:p>
        </w:tc>
      </w:tr>
      <w:tr w14:paraId="113ECC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2753" w:type="pct"/>
            <w:gridSpan w:val="3"/>
            <w:vAlign w:val="center"/>
          </w:tcPr>
          <w:p w14:paraId="159BBF4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机动车停车位</w:t>
            </w:r>
          </w:p>
        </w:tc>
        <w:tc>
          <w:tcPr>
            <w:tcW w:w="628" w:type="pct"/>
            <w:vAlign w:val="center"/>
          </w:tcPr>
          <w:p w14:paraId="1D697706">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个</w:t>
            </w:r>
          </w:p>
        </w:tc>
        <w:tc>
          <w:tcPr>
            <w:tcW w:w="1619" w:type="pct"/>
            <w:vAlign w:val="center"/>
          </w:tcPr>
          <w:p w14:paraId="0D8FC8A3">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2680</w:t>
            </w:r>
          </w:p>
        </w:tc>
      </w:tr>
      <w:tr w14:paraId="2DFA99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restart"/>
            <w:vAlign w:val="center"/>
          </w:tcPr>
          <w:p w14:paraId="30CE3FF5">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其中</w:t>
            </w:r>
          </w:p>
        </w:tc>
        <w:tc>
          <w:tcPr>
            <w:tcW w:w="2111" w:type="pct"/>
            <w:gridSpan w:val="2"/>
            <w:vAlign w:val="center"/>
          </w:tcPr>
          <w:p w14:paraId="501CA794">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地上停车位</w:t>
            </w:r>
          </w:p>
        </w:tc>
        <w:tc>
          <w:tcPr>
            <w:tcW w:w="628" w:type="pct"/>
            <w:vAlign w:val="center"/>
          </w:tcPr>
          <w:p w14:paraId="6B5BE4DC">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个</w:t>
            </w:r>
          </w:p>
        </w:tc>
        <w:tc>
          <w:tcPr>
            <w:tcW w:w="1619" w:type="pct"/>
            <w:vAlign w:val="center"/>
          </w:tcPr>
          <w:p w14:paraId="35DEAA52">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38</w:t>
            </w:r>
          </w:p>
        </w:tc>
      </w:tr>
      <w:tr w14:paraId="504C63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642" w:type="pct"/>
            <w:vMerge w:val="continue"/>
            <w:tcBorders>
              <w:bottom w:val="single" w:color="auto" w:sz="4" w:space="0"/>
            </w:tcBorders>
            <w:vAlign w:val="center"/>
          </w:tcPr>
          <w:p w14:paraId="00A799D3">
            <w:pPr>
              <w:spacing w:before="0" w:beforeLines="0" w:after="0" w:afterLines="0" w:line="240" w:lineRule="auto"/>
              <w:ind w:firstLine="0" w:firstLineChars="0"/>
              <w:rPr>
                <w:rFonts w:hint="eastAsia" w:ascii="仿宋" w:hAnsi="仿宋" w:eastAsia="仿宋" w:cs="仿宋"/>
                <w:sz w:val="32"/>
                <w:szCs w:val="32"/>
              </w:rPr>
            </w:pPr>
          </w:p>
        </w:tc>
        <w:tc>
          <w:tcPr>
            <w:tcW w:w="2111" w:type="pct"/>
            <w:gridSpan w:val="2"/>
            <w:tcBorders>
              <w:bottom w:val="single" w:color="auto" w:sz="4" w:space="0"/>
            </w:tcBorders>
            <w:vAlign w:val="center"/>
          </w:tcPr>
          <w:p w14:paraId="68FF493A">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地下停车位</w:t>
            </w:r>
          </w:p>
        </w:tc>
        <w:tc>
          <w:tcPr>
            <w:tcW w:w="628" w:type="pct"/>
            <w:tcBorders>
              <w:bottom w:val="single" w:color="auto" w:sz="4" w:space="0"/>
            </w:tcBorders>
            <w:vAlign w:val="center"/>
          </w:tcPr>
          <w:p w14:paraId="5ADEFC22">
            <w:pPr>
              <w:spacing w:before="0" w:beforeLines="0" w:after="0" w:afterLines="0" w:line="240" w:lineRule="auto"/>
              <w:ind w:firstLine="0" w:firstLineChars="0"/>
              <w:jc w:val="center"/>
              <w:rPr>
                <w:rFonts w:hint="eastAsia" w:ascii="仿宋" w:hAnsi="仿宋" w:eastAsia="仿宋" w:cs="仿宋"/>
                <w:sz w:val="32"/>
                <w:szCs w:val="32"/>
              </w:rPr>
            </w:pPr>
            <w:r>
              <w:rPr>
                <w:rFonts w:hint="eastAsia" w:ascii="仿宋" w:hAnsi="仿宋" w:eastAsia="仿宋" w:cs="仿宋"/>
                <w:sz w:val="32"/>
                <w:szCs w:val="32"/>
              </w:rPr>
              <w:t>个</w:t>
            </w:r>
          </w:p>
        </w:tc>
        <w:tc>
          <w:tcPr>
            <w:tcW w:w="1619" w:type="pct"/>
            <w:tcBorders>
              <w:bottom w:val="single" w:color="auto" w:sz="4" w:space="0"/>
            </w:tcBorders>
            <w:vAlign w:val="center"/>
          </w:tcPr>
          <w:p w14:paraId="162352B1">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2642</w:t>
            </w:r>
          </w:p>
        </w:tc>
      </w:tr>
      <w:tr w14:paraId="073A2F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340"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A0D859B">
            <w:pPr>
              <w:spacing w:before="0" w:beforeLines="0" w:after="0" w:afterLines="0" w:line="240" w:lineRule="auto"/>
              <w:ind w:firstLine="0" w:firstLineChars="0"/>
              <w:rPr>
                <w:rFonts w:hint="eastAsia" w:ascii="仿宋" w:hAnsi="仿宋" w:eastAsia="仿宋" w:cs="仿宋"/>
                <w:sz w:val="32"/>
                <w:szCs w:val="32"/>
              </w:rPr>
            </w:pPr>
            <w:r>
              <w:rPr>
                <w:rFonts w:hint="eastAsia" w:ascii="仿宋" w:hAnsi="仿宋" w:eastAsia="仿宋" w:cs="仿宋"/>
                <w:sz w:val="32"/>
                <w:szCs w:val="32"/>
              </w:rPr>
              <w:t>非机动车停车位个                        个     4505</w:t>
            </w:r>
          </w:p>
        </w:tc>
      </w:tr>
    </w:tbl>
    <w:p w14:paraId="58B4A237">
      <w:pPr>
        <w:spacing w:before="156" w:after="156"/>
        <w:ind w:firstLine="0" w:firstLineChars="0"/>
        <w:jc w:val="center"/>
        <w:rPr>
          <w:rFonts w:hint="eastAsia" w:ascii="仿宋" w:hAnsi="仿宋" w:eastAsia="仿宋" w:cs="仿宋"/>
          <w:sz w:val="32"/>
          <w:szCs w:val="32"/>
        </w:rPr>
      </w:pPr>
      <w:r>
        <w:rPr>
          <w:rFonts w:hint="eastAsia" w:ascii="仿宋" w:hAnsi="仿宋" w:eastAsia="仿宋" w:cs="仿宋"/>
          <w:sz w:val="32"/>
          <w:szCs w:val="32"/>
        </w:rPr>
        <w:t>图：项目建设规划图</w:t>
      </w:r>
    </w:p>
    <w:p w14:paraId="2F15CA59">
      <w:pPr>
        <w:spacing w:before="156" w:after="156"/>
        <w:ind w:firstLine="560"/>
        <w:rPr>
          <w:rFonts w:ascii="仿宋_GB231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F985EF9">
      <w:pPr>
        <w:spacing w:before="190" w:after="190"/>
        <w:ind w:firstLine="0" w:firstLineChars="0"/>
        <w:rPr>
          <w:rFonts w:ascii="仿宋_GB2312"/>
        </w:rPr>
        <w:sectPr>
          <w:pgSz w:w="16838" w:h="11906" w:orient="landscape"/>
          <w:pgMar w:top="1800" w:right="1440" w:bottom="1800" w:left="1440" w:header="851" w:footer="992" w:gutter="0"/>
          <w:cols w:space="425" w:num="1"/>
          <w:docGrid w:type="lines" w:linePitch="381" w:charSpace="0"/>
        </w:sectPr>
      </w:pPr>
      <w:r>
        <w:rPr>
          <w:rFonts w:hint="eastAsia" w:ascii="仿宋_GB2312"/>
        </w:rPr>
        <w:drawing>
          <wp:inline distT="0" distB="0" distL="0" distR="0">
            <wp:extent cx="5692140" cy="8854440"/>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5698478" cy="8863588"/>
                    </a:xfrm>
                    <a:prstGeom prst="rect">
                      <a:avLst/>
                    </a:prstGeom>
                    <a:noFill/>
                    <a:ln>
                      <a:noFill/>
                    </a:ln>
                  </pic:spPr>
                </pic:pic>
              </a:graphicData>
            </a:graphic>
          </wp:inline>
        </w:drawing>
      </w:r>
    </w:p>
    <w:p w14:paraId="17C7E131">
      <w:pPr>
        <w:spacing w:before="156" w:after="156" w:line="240" w:lineRule="auto"/>
        <w:ind w:firstLine="0" w:firstLineChars="0"/>
        <w:jc w:val="center"/>
        <w:rPr>
          <w:rFonts w:ascii="仿宋_GB2312"/>
        </w:rPr>
      </w:pPr>
    </w:p>
    <w:p w14:paraId="748A7435">
      <w:pPr>
        <w:numPr>
          <w:ilvl w:val="0"/>
          <w:numId w:val="4"/>
        </w:numPr>
        <w:spacing w:before="156" w:after="156"/>
        <w:ind w:firstLine="560"/>
        <w:rPr>
          <w:rStyle w:val="37"/>
          <w:rFonts w:ascii="仿宋" w:hAnsi="Times New Roman" w:eastAsia="仿宋"/>
          <w:b/>
          <w:sz w:val="32"/>
          <w:szCs w:val="32"/>
          <w:highlight w:val="none"/>
        </w:rPr>
      </w:pPr>
      <w:r>
        <w:rPr>
          <w:rStyle w:val="37"/>
          <w:rFonts w:ascii="仿宋" w:hAnsi="Times New Roman" w:eastAsia="仿宋"/>
          <w:b/>
          <w:sz w:val="32"/>
          <w:szCs w:val="32"/>
          <w:highlight w:val="none"/>
        </w:rPr>
        <w:t>融资目的及需求</w:t>
      </w:r>
    </w:p>
    <w:p w14:paraId="5217FB84">
      <w:pPr>
        <w:numPr>
          <w:ilvl w:val="0"/>
          <w:numId w:val="0"/>
        </w:numPr>
        <w:spacing w:before="156" w:after="156"/>
        <w:ind w:firstLine="640"/>
        <w:rPr>
          <w:rFonts w:hint="eastAsia" w:ascii="仿宋" w:hAnsi="仿宋" w:eastAsia="仿宋" w:cs="仿宋"/>
          <w:b w:val="0"/>
          <w:bCs w:val="0"/>
          <w:sz w:val="32"/>
          <w:szCs w:val="32"/>
          <w:lang w:val="en-US" w:eastAsia="zh-CN"/>
        </w:rPr>
      </w:pPr>
      <w:r>
        <w:rPr>
          <w:rStyle w:val="37"/>
          <w:rFonts w:hint="eastAsia" w:ascii="仿宋" w:eastAsia="仿宋"/>
          <w:b w:val="0"/>
          <w:bCs/>
          <w:sz w:val="32"/>
          <w:szCs w:val="32"/>
          <w:highlight w:val="none"/>
          <w:lang w:val="en-US" w:eastAsia="zh-CN"/>
        </w:rPr>
        <w:t>东城渭水湾二期项目，</w:t>
      </w:r>
      <w:r>
        <w:rPr>
          <w:rFonts w:hint="eastAsia" w:ascii="仿宋" w:hAnsi="仿宋" w:eastAsia="仿宋" w:cs="仿宋"/>
          <w:sz w:val="32"/>
          <w:szCs w:val="32"/>
        </w:rPr>
        <w:t>土地面积：35,852.91万平方米（53.779亩），</w:t>
      </w:r>
      <w:r>
        <w:rPr>
          <w:rFonts w:hint="eastAsia" w:ascii="仿宋" w:hAnsi="仿宋" w:eastAsia="仿宋" w:cs="仿宋"/>
          <w:sz w:val="32"/>
          <w:szCs w:val="32"/>
          <w:lang w:val="en-US" w:eastAsia="zh-CN"/>
        </w:rPr>
        <w:t>已全额缴纳土地出让金及相关契税等税费，并已取得土地使用权证、建设用地规划许可证。现公司使用二期53.779亩土地使用权证于咸阳市秦都区农商行抵押贷款2800万元，此笔款项用于缴纳二期项目一批次2#、3#、4#楼及商业街城市建设配套费，及支付部分工程款项。目前二期项目一批次正在办理建设工程规划许可证及施工许可</w:t>
      </w:r>
      <w:r>
        <w:rPr>
          <w:rFonts w:hint="eastAsia" w:ascii="仿宋" w:hAnsi="仿宋" w:eastAsia="仿宋" w:cs="仿宋"/>
          <w:b w:val="0"/>
          <w:bCs w:val="0"/>
          <w:sz w:val="32"/>
          <w:szCs w:val="32"/>
          <w:lang w:val="en-US" w:eastAsia="zh-CN"/>
        </w:rPr>
        <w:t>证，预计2025年1月底前取得。</w:t>
      </w:r>
    </w:p>
    <w:p w14:paraId="38493682">
      <w:pPr>
        <w:numPr>
          <w:ilvl w:val="0"/>
          <w:numId w:val="0"/>
        </w:numPr>
        <w:spacing w:before="156" w:after="156"/>
        <w:ind w:firstLine="640"/>
        <w:rPr>
          <w:rStyle w:val="37"/>
          <w:rFonts w:hint="eastAsia" w:ascii="仿宋" w:eastAsia="仿宋"/>
          <w:b w:val="0"/>
          <w:bCs w:val="0"/>
          <w:sz w:val="32"/>
          <w:szCs w:val="32"/>
          <w:highlight w:val="none"/>
          <w:lang w:val="en-US" w:eastAsia="zh-CN"/>
        </w:rPr>
      </w:pPr>
      <w:r>
        <w:rPr>
          <w:rStyle w:val="37"/>
          <w:rFonts w:hint="eastAsia" w:ascii="仿宋" w:eastAsia="仿宋"/>
          <w:b w:val="0"/>
          <w:bCs w:val="0"/>
          <w:sz w:val="32"/>
          <w:szCs w:val="32"/>
          <w:highlight w:val="none"/>
          <w:lang w:val="en-US" w:eastAsia="zh-CN"/>
        </w:rPr>
        <w:t>现申请资金4000万元，其中2800万元用于偿还二期土地证抵押贷款，解押土地证办理二期一批次预售许可证，200万元用于公司管理经营，1000万元用于支付施工单位工程款。</w:t>
      </w:r>
    </w:p>
    <w:p w14:paraId="3ED3350D">
      <w:pPr>
        <w:numPr>
          <w:ilvl w:val="0"/>
          <w:numId w:val="4"/>
        </w:numPr>
        <w:spacing w:before="156" w:after="156"/>
        <w:ind w:left="0" w:leftChars="0" w:firstLine="640" w:firstLineChars="200"/>
        <w:rPr>
          <w:rStyle w:val="37"/>
          <w:rFonts w:hint="eastAsia" w:ascii="仿宋" w:eastAsia="仿宋"/>
          <w:b w:val="0"/>
          <w:bCs w:val="0"/>
          <w:sz w:val="32"/>
          <w:szCs w:val="32"/>
          <w:highlight w:val="none"/>
          <w:lang w:val="en-US" w:eastAsia="zh-CN"/>
        </w:rPr>
      </w:pPr>
      <w:r>
        <w:rPr>
          <w:rStyle w:val="37"/>
          <w:rFonts w:hint="eastAsia" w:ascii="仿宋" w:eastAsia="仿宋"/>
          <w:b w:val="0"/>
          <w:bCs w:val="0"/>
          <w:sz w:val="32"/>
          <w:szCs w:val="32"/>
          <w:highlight w:val="none"/>
          <w:lang w:val="en-US" w:eastAsia="zh-CN"/>
        </w:rPr>
        <w:t>五证情况</w:t>
      </w:r>
    </w:p>
    <w:p w14:paraId="1A4DD8AC">
      <w:pPr>
        <w:numPr>
          <w:ilvl w:val="0"/>
          <w:numId w:val="0"/>
        </w:numPr>
        <w:spacing w:before="156" w:after="156"/>
        <w:ind w:leftChars="200"/>
        <w:rPr>
          <w:rStyle w:val="37"/>
          <w:rFonts w:hint="eastAsia" w:ascii="仿宋" w:eastAsia="仿宋"/>
          <w:b w:val="0"/>
          <w:bCs/>
          <w:sz w:val="32"/>
          <w:szCs w:val="32"/>
          <w:highlight w:val="none"/>
          <w:lang w:val="en-US" w:eastAsia="zh-CN"/>
        </w:rPr>
      </w:pPr>
      <w:r>
        <w:rPr>
          <w:rStyle w:val="37"/>
          <w:rFonts w:hint="eastAsia" w:ascii="仿宋" w:eastAsia="仿宋"/>
          <w:b w:val="0"/>
          <w:bCs/>
          <w:sz w:val="32"/>
          <w:szCs w:val="32"/>
          <w:highlight w:val="none"/>
          <w:lang w:val="en-US" w:eastAsia="zh-CN"/>
        </w:rPr>
        <w:t>已取得土地使用权证、建设用地规划许可证，建设工程规划许可证及施工许可证正在办理，预计2025年1月底前取得。</w:t>
      </w:r>
    </w:p>
    <w:p w14:paraId="126E50B7">
      <w:pPr>
        <w:numPr>
          <w:ilvl w:val="0"/>
          <w:numId w:val="4"/>
        </w:numPr>
        <w:spacing w:line="420" w:lineRule="exact"/>
        <w:ind w:left="0" w:leftChars="0" w:firstLine="640" w:firstLineChars="200"/>
        <w:rPr>
          <w:rStyle w:val="37"/>
          <w:rFonts w:ascii="仿宋" w:eastAsia="仿宋"/>
          <w:b w:val="0"/>
          <w:bCs/>
          <w:color w:val="000000"/>
          <w:sz w:val="32"/>
          <w:szCs w:val="32"/>
          <w:highlight w:val="none"/>
        </w:rPr>
      </w:pPr>
      <w:r>
        <w:rPr>
          <w:rStyle w:val="37"/>
          <w:rFonts w:hint="eastAsia" w:ascii="仿宋" w:eastAsia="仿宋"/>
          <w:b w:val="0"/>
          <w:bCs/>
          <w:color w:val="000000"/>
          <w:sz w:val="32"/>
          <w:szCs w:val="32"/>
          <w:highlight w:val="none"/>
          <w:lang w:val="en-US" w:eastAsia="zh-CN"/>
        </w:rPr>
        <w:t>二期</w:t>
      </w:r>
      <w:r>
        <w:rPr>
          <w:rStyle w:val="37"/>
          <w:rFonts w:ascii="仿宋" w:eastAsia="仿宋"/>
          <w:b w:val="0"/>
          <w:bCs/>
          <w:color w:val="000000"/>
          <w:sz w:val="32"/>
          <w:szCs w:val="32"/>
          <w:highlight w:val="none"/>
        </w:rPr>
        <w:t>项目总投资收益预测</w:t>
      </w:r>
    </w:p>
    <w:p w14:paraId="30AA5E44">
      <w:pPr>
        <w:numPr>
          <w:ilvl w:val="0"/>
          <w:numId w:val="0"/>
        </w:numPr>
        <w:spacing w:line="420" w:lineRule="exact"/>
        <w:ind w:leftChars="200"/>
        <w:rPr>
          <w:rStyle w:val="37"/>
          <w:rFonts w:ascii="仿宋" w:eastAsia="仿宋"/>
          <w:b w:val="0"/>
          <w:bCs/>
          <w:color w:val="000000"/>
          <w:sz w:val="32"/>
          <w:szCs w:val="32"/>
          <w:highlight w:val="none"/>
        </w:rPr>
      </w:pPr>
    </w:p>
    <w:tbl>
      <w:tblPr>
        <w:tblStyle w:val="15"/>
        <w:tblW w:w="88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99"/>
        <w:gridCol w:w="3435"/>
        <w:gridCol w:w="1701"/>
        <w:gridCol w:w="2423"/>
      </w:tblGrid>
      <w:tr w14:paraId="7F5AD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8D77">
            <w:pPr>
              <w:jc w:val="center"/>
              <w:rPr>
                <w:rFonts w:hint="eastAsia" w:ascii="宋体" w:hAnsi="宋体" w:eastAsia="宋体" w:cs="宋体"/>
                <w:b/>
                <w:bCs/>
                <w:i w:val="0"/>
                <w:iCs w:val="0"/>
                <w:color w:val="000000"/>
                <w:sz w:val="22"/>
                <w:szCs w:val="22"/>
                <w:highlight w:val="none"/>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CC2F">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rPr>
              <w:t>经济指标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27C2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rPr>
              <w:t>总金额（万元）</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A582">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rPr>
              <w:t>经营面积单方（元/㎡）</w:t>
            </w:r>
          </w:p>
        </w:tc>
      </w:tr>
      <w:tr w14:paraId="36E0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53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60B4">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rPr>
              <w:t>总收入</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6D2A">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eastAsia="zh-CN"/>
              </w:rPr>
            </w:pPr>
            <w:r>
              <w:rPr>
                <w:rFonts w:hint="eastAsia" w:ascii="宋体" w:hAnsi="宋体" w:eastAsia="宋体" w:cs="宋体"/>
                <w:b/>
                <w:bCs/>
                <w:i w:val="0"/>
                <w:iCs w:val="0"/>
                <w:color w:val="000000"/>
                <w:sz w:val="22"/>
                <w:szCs w:val="22"/>
                <w:highlight w:val="none"/>
                <w:u w:val="none"/>
                <w:lang w:val="en-US" w:eastAsia="zh-CN"/>
              </w:rPr>
              <w:t>158000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FD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r>
      <w:tr w14:paraId="560B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0BE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3673">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rPr>
              <w:t>总成本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AFC2">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eastAsia="zh-CN"/>
              </w:rPr>
            </w:pPr>
            <w:r>
              <w:rPr>
                <w:rFonts w:hint="eastAsia" w:ascii="宋体" w:hAnsi="宋体" w:eastAsia="宋体" w:cs="宋体"/>
                <w:b/>
                <w:bCs/>
                <w:i w:val="0"/>
                <w:iCs w:val="0"/>
                <w:color w:val="000000"/>
                <w:sz w:val="22"/>
                <w:szCs w:val="22"/>
                <w:highlight w:val="none"/>
                <w:u w:val="none"/>
                <w:lang w:val="en-US" w:eastAsia="zh-CN"/>
              </w:rPr>
              <w:t>112800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6036">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p>
        </w:tc>
      </w:tr>
      <w:tr w14:paraId="3CBE7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787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C753">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其中：原始地价及契税</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B3DC">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30000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DB04">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1400</w:t>
            </w:r>
          </w:p>
        </w:tc>
      </w:tr>
      <w:tr w14:paraId="5241C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65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8EB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建安成本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4508">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67000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B2C9">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3000</w:t>
            </w:r>
          </w:p>
        </w:tc>
      </w:tr>
      <w:tr w14:paraId="6533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80DC">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2F1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营销费用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EBEF">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5000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9614">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400</w:t>
            </w:r>
          </w:p>
        </w:tc>
      </w:tr>
      <w:tr w14:paraId="108E3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9A50">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8E7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管理费用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91C7">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1100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E3A4">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50</w:t>
            </w:r>
          </w:p>
        </w:tc>
      </w:tr>
      <w:tr w14:paraId="00DB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B756">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6AC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增值税及附加</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1BF8">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7700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0640">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180</w:t>
            </w:r>
          </w:p>
        </w:tc>
      </w:tr>
      <w:tr w14:paraId="1F7D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7DD5">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5DE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土增税</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3E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 xml:space="preserve">0 </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652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0</w:t>
            </w:r>
          </w:p>
        </w:tc>
      </w:tr>
      <w:tr w14:paraId="32788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3ADF">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0DB0">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大配套费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2E72">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2000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44E0">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120</w:t>
            </w:r>
          </w:p>
        </w:tc>
      </w:tr>
      <w:tr w14:paraId="3AAA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A6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008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总利润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5349">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45200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2D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r>
    </w:tbl>
    <w:p w14:paraId="667360E8">
      <w:pPr>
        <w:numPr>
          <w:ilvl w:val="0"/>
          <w:numId w:val="0"/>
        </w:numPr>
        <w:spacing w:before="156" w:after="156"/>
        <w:ind w:leftChars="200"/>
        <w:rPr>
          <w:rStyle w:val="37"/>
          <w:rFonts w:hint="default" w:ascii="仿宋" w:eastAsia="仿宋" w:cs="宋体"/>
          <w:b w:val="0"/>
          <w:bCs w:val="0"/>
          <w:sz w:val="32"/>
          <w:szCs w:val="32"/>
          <w:highlight w:val="none"/>
          <w:lang w:val="en-US" w:eastAsia="zh-CN"/>
        </w:rPr>
      </w:pPr>
      <w:r>
        <w:rPr>
          <w:rStyle w:val="37"/>
          <w:rFonts w:ascii="仿宋" w:eastAsia="仿宋" w:cs="宋体"/>
          <w:b w:val="0"/>
          <w:bCs w:val="0"/>
          <w:sz w:val="32"/>
          <w:szCs w:val="32"/>
          <w:highlight w:val="none"/>
        </w:rPr>
        <w:t>项目盈利预测：</w:t>
      </w:r>
      <w:r>
        <w:rPr>
          <w:rStyle w:val="37"/>
          <w:rFonts w:hint="eastAsia" w:ascii="仿宋" w:eastAsia="仿宋" w:cs="宋体"/>
          <w:b w:val="0"/>
          <w:bCs w:val="0"/>
          <w:sz w:val="32"/>
          <w:szCs w:val="32"/>
          <w:highlight w:val="none"/>
          <w:lang w:val="en-US" w:eastAsia="zh-CN"/>
        </w:rPr>
        <w:t>本项目收入减去总成本后含税净利润约4.5亿元。</w:t>
      </w:r>
    </w:p>
    <w:p w14:paraId="35357761">
      <w:pPr>
        <w:spacing w:line="264" w:lineRule="auto"/>
        <w:rPr>
          <w:rStyle w:val="37"/>
          <w:rFonts w:ascii="黑体" w:hAnsi="黑体" w:eastAsia="仿宋"/>
          <w:b w:val="0"/>
          <w:bCs/>
          <w:sz w:val="32"/>
          <w:szCs w:val="32"/>
          <w:highlight w:val="none"/>
        </w:rPr>
      </w:pPr>
      <w:r>
        <w:rPr>
          <w:rStyle w:val="37"/>
          <w:rFonts w:hint="eastAsia" w:ascii="仿宋" w:eastAsia="仿宋"/>
          <w:b w:val="0"/>
          <w:bCs/>
          <w:color w:val="000000"/>
          <w:sz w:val="32"/>
          <w:szCs w:val="32"/>
          <w:highlight w:val="none"/>
          <w:lang w:val="en-US" w:eastAsia="zh-CN"/>
        </w:rPr>
        <w:t>六、</w:t>
      </w:r>
      <w:r>
        <w:rPr>
          <w:rStyle w:val="37"/>
          <w:rFonts w:ascii="仿宋" w:eastAsia="仿宋"/>
          <w:b w:val="0"/>
          <w:bCs/>
          <w:color w:val="000000"/>
          <w:sz w:val="32"/>
          <w:szCs w:val="32"/>
          <w:highlight w:val="none"/>
        </w:rPr>
        <w:t>融资计</w:t>
      </w:r>
      <w:r>
        <w:rPr>
          <w:rStyle w:val="37"/>
          <w:rFonts w:ascii="黑体" w:hAnsi="黑体" w:eastAsia="仿宋"/>
          <w:b w:val="0"/>
          <w:bCs/>
          <w:sz w:val="32"/>
          <w:szCs w:val="32"/>
          <w:highlight w:val="none"/>
        </w:rPr>
        <w:t>划</w:t>
      </w:r>
    </w:p>
    <w:p w14:paraId="48FFE5EF">
      <w:pPr>
        <w:spacing w:line="360" w:lineRule="auto"/>
        <w:rPr>
          <w:rStyle w:val="37"/>
          <w:rFonts w:ascii="黑体" w:hAnsi="黑体" w:eastAsia="仿宋"/>
          <w:sz w:val="32"/>
          <w:szCs w:val="32"/>
          <w:highlight w:val="none"/>
        </w:rPr>
      </w:pPr>
      <w:r>
        <w:rPr>
          <w:rStyle w:val="37"/>
          <w:rFonts w:ascii="黑体" w:hAnsi="黑体" w:eastAsia="仿宋"/>
          <w:sz w:val="32"/>
          <w:szCs w:val="32"/>
          <w:highlight w:val="none"/>
        </w:rPr>
        <w:t>（1） 融资额度：</w:t>
      </w:r>
      <w:r>
        <w:rPr>
          <w:rStyle w:val="37"/>
          <w:rFonts w:hint="eastAsia" w:ascii="黑体" w:hAnsi="黑体" w:eastAsia="仿宋"/>
          <w:sz w:val="32"/>
          <w:szCs w:val="32"/>
          <w:highlight w:val="none"/>
          <w:lang w:val="en-US" w:eastAsia="zh-CN"/>
        </w:rPr>
        <w:t>4000万元</w:t>
      </w:r>
      <w:r>
        <w:rPr>
          <w:rStyle w:val="37"/>
          <w:rFonts w:ascii="黑体" w:hAnsi="黑体" w:eastAsia="仿宋"/>
          <w:sz w:val="32"/>
          <w:szCs w:val="32"/>
          <w:highlight w:val="none"/>
        </w:rPr>
        <w:t>；</w:t>
      </w:r>
    </w:p>
    <w:p w14:paraId="661FDA4D">
      <w:pPr>
        <w:spacing w:line="360" w:lineRule="auto"/>
        <w:rPr>
          <w:rStyle w:val="37"/>
          <w:rFonts w:ascii="黑体" w:hAnsi="黑体" w:eastAsia="仿宋"/>
          <w:sz w:val="32"/>
          <w:szCs w:val="32"/>
          <w:highlight w:val="none"/>
        </w:rPr>
      </w:pPr>
      <w:r>
        <w:rPr>
          <w:rStyle w:val="37"/>
          <w:rFonts w:ascii="黑体" w:hAnsi="黑体" w:eastAsia="仿宋"/>
          <w:sz w:val="32"/>
          <w:szCs w:val="32"/>
          <w:highlight w:val="none"/>
        </w:rPr>
        <w:t>（2） 融资利率：15%/年左右；</w:t>
      </w:r>
    </w:p>
    <w:p w14:paraId="1DC960A1">
      <w:pPr>
        <w:spacing w:line="360" w:lineRule="auto"/>
        <w:rPr>
          <w:rStyle w:val="37"/>
          <w:rFonts w:ascii="黑体" w:hAnsi="黑体" w:eastAsia="仿宋"/>
          <w:sz w:val="32"/>
          <w:szCs w:val="32"/>
          <w:highlight w:val="none"/>
        </w:rPr>
      </w:pPr>
      <w:r>
        <w:rPr>
          <w:rStyle w:val="37"/>
          <w:rFonts w:ascii="黑体" w:hAnsi="黑体" w:eastAsia="仿宋"/>
          <w:sz w:val="32"/>
          <w:szCs w:val="32"/>
          <w:highlight w:val="none"/>
        </w:rPr>
        <w:t>（3） 融资期限：</w:t>
      </w:r>
      <w:r>
        <w:rPr>
          <w:rStyle w:val="37"/>
          <w:rFonts w:hint="eastAsia" w:ascii="黑体" w:hAnsi="黑体" w:eastAsia="仿宋"/>
          <w:sz w:val="32"/>
          <w:szCs w:val="32"/>
          <w:highlight w:val="none"/>
          <w:lang w:val="en-US" w:eastAsia="zh-CN"/>
        </w:rPr>
        <w:t>1</w:t>
      </w:r>
      <w:r>
        <w:rPr>
          <w:rStyle w:val="37"/>
          <w:rFonts w:ascii="黑体" w:hAnsi="黑体" w:eastAsia="仿宋"/>
          <w:sz w:val="32"/>
          <w:szCs w:val="32"/>
          <w:highlight w:val="none"/>
        </w:rPr>
        <w:t>+1年期，满</w:t>
      </w:r>
      <w:r>
        <w:rPr>
          <w:rStyle w:val="37"/>
          <w:rFonts w:hint="eastAsia" w:ascii="黑体" w:hAnsi="黑体" w:eastAsia="仿宋"/>
          <w:sz w:val="32"/>
          <w:szCs w:val="32"/>
          <w:highlight w:val="none"/>
          <w:lang w:val="en-US" w:eastAsia="zh-CN"/>
        </w:rPr>
        <w:t>6</w:t>
      </w:r>
      <w:r>
        <w:rPr>
          <w:rStyle w:val="37"/>
          <w:rFonts w:ascii="黑体" w:hAnsi="黑体" w:eastAsia="仿宋"/>
          <w:sz w:val="32"/>
          <w:szCs w:val="32"/>
          <w:highlight w:val="none"/>
        </w:rPr>
        <w:t>个月可提前还款；</w:t>
      </w:r>
    </w:p>
    <w:p w14:paraId="0C23FDAF">
      <w:pPr>
        <w:spacing w:line="360" w:lineRule="auto"/>
        <w:rPr>
          <w:rStyle w:val="37"/>
          <w:rFonts w:hint="default" w:ascii="黑体" w:hAnsi="黑体" w:eastAsia="仿宋"/>
          <w:sz w:val="32"/>
          <w:szCs w:val="32"/>
          <w:highlight w:val="none"/>
          <w:lang w:val="en-US" w:eastAsia="zh-CN"/>
        </w:rPr>
      </w:pPr>
      <w:r>
        <w:rPr>
          <w:rStyle w:val="37"/>
          <w:rFonts w:ascii="黑体" w:hAnsi="黑体" w:eastAsia="仿宋"/>
          <w:sz w:val="32"/>
          <w:szCs w:val="32"/>
          <w:highlight w:val="none"/>
        </w:rPr>
        <w:t>（4） 资金用途：</w:t>
      </w:r>
      <w:r>
        <w:rPr>
          <w:rStyle w:val="37"/>
          <w:rFonts w:hint="eastAsia" w:ascii="黑体" w:hAnsi="黑体" w:eastAsia="仿宋"/>
          <w:sz w:val="32"/>
          <w:szCs w:val="32"/>
          <w:highlight w:val="none"/>
          <w:lang w:val="en-US" w:eastAsia="zh-CN"/>
        </w:rPr>
        <w:t>偿还土地使用权证抵押贷款2800万元，用来办理预售许可证，200万元用于公司管理经营，1000万元用于支付施工单位工程款。</w:t>
      </w:r>
    </w:p>
    <w:p w14:paraId="4351244A">
      <w:pPr>
        <w:spacing w:line="360" w:lineRule="auto"/>
        <w:rPr>
          <w:rStyle w:val="37"/>
          <w:rFonts w:hint="eastAsia" w:ascii="黑体" w:hAnsi="黑体" w:eastAsia="仿宋"/>
          <w:sz w:val="32"/>
          <w:szCs w:val="32"/>
          <w:highlight w:val="none"/>
          <w:lang w:val="en-US" w:eastAsia="zh-CN"/>
        </w:rPr>
      </w:pPr>
      <w:r>
        <w:rPr>
          <w:rStyle w:val="37"/>
          <w:rFonts w:ascii="黑体" w:hAnsi="黑体" w:eastAsia="仿宋"/>
          <w:sz w:val="32"/>
          <w:szCs w:val="32"/>
          <w:highlight w:val="none"/>
        </w:rPr>
        <w:t>（5） 担保方式：</w:t>
      </w:r>
      <w:r>
        <w:rPr>
          <w:rStyle w:val="37"/>
          <w:rFonts w:hint="eastAsia" w:ascii="黑体" w:hAnsi="黑体" w:eastAsia="仿宋"/>
          <w:sz w:val="32"/>
          <w:szCs w:val="32"/>
          <w:highlight w:val="none"/>
          <w:lang w:val="en-US" w:eastAsia="zh-CN"/>
        </w:rPr>
        <w:t>取得预售证网签相应金额房源抵押。</w:t>
      </w:r>
    </w:p>
    <w:p w14:paraId="3CFD0E9D">
      <w:pPr>
        <w:spacing w:line="360" w:lineRule="auto"/>
        <w:rPr>
          <w:rStyle w:val="37"/>
          <w:rFonts w:hint="default" w:ascii="黑体" w:hAnsi="黑体" w:eastAsia="仿宋"/>
          <w:sz w:val="32"/>
          <w:szCs w:val="32"/>
          <w:highlight w:val="none"/>
          <w:lang w:val="en-US" w:eastAsia="zh-CN"/>
        </w:rPr>
      </w:pPr>
      <w:r>
        <w:rPr>
          <w:rStyle w:val="37"/>
          <w:rFonts w:hint="eastAsia" w:ascii="黑体" w:hAnsi="黑体" w:eastAsia="仿宋"/>
          <w:sz w:val="32"/>
          <w:szCs w:val="32"/>
          <w:highlight w:val="none"/>
          <w:lang w:val="en-US" w:eastAsia="zh-CN"/>
        </w:rPr>
        <w:t>七、还款资金来源</w:t>
      </w:r>
    </w:p>
    <w:p w14:paraId="7FD9E3D0">
      <w:pPr>
        <w:spacing w:line="360" w:lineRule="auto"/>
        <w:rPr>
          <w:rStyle w:val="37"/>
          <w:rFonts w:hint="eastAsia" w:ascii="黑体" w:hAnsi="黑体" w:eastAsia="仿宋"/>
          <w:sz w:val="32"/>
          <w:szCs w:val="32"/>
          <w:highlight w:val="none"/>
          <w:lang w:val="en-US" w:eastAsia="zh-CN"/>
        </w:rPr>
      </w:pPr>
      <w:r>
        <w:rPr>
          <w:rStyle w:val="37"/>
          <w:rFonts w:hint="eastAsia" w:ascii="黑体" w:hAnsi="黑体" w:eastAsia="仿宋"/>
          <w:sz w:val="32"/>
          <w:szCs w:val="32"/>
          <w:highlight w:val="none"/>
          <w:lang w:val="en-US" w:eastAsia="zh-CN"/>
        </w:rPr>
        <w:t>（1）银行开发贷替换</w:t>
      </w:r>
    </w:p>
    <w:p w14:paraId="6BC916C9">
      <w:pPr>
        <w:spacing w:line="360" w:lineRule="auto"/>
        <w:rPr>
          <w:rStyle w:val="37"/>
          <w:rFonts w:hint="default" w:ascii="黑体" w:hAnsi="黑体" w:eastAsia="仿宋"/>
          <w:sz w:val="32"/>
          <w:szCs w:val="32"/>
          <w:highlight w:val="none"/>
          <w:lang w:val="en-US" w:eastAsia="zh-CN"/>
        </w:rPr>
      </w:pPr>
      <w:r>
        <w:rPr>
          <w:rStyle w:val="37"/>
          <w:rFonts w:hint="eastAsia" w:ascii="黑体" w:hAnsi="黑体" w:eastAsia="仿宋"/>
          <w:sz w:val="32"/>
          <w:szCs w:val="32"/>
          <w:highlight w:val="none"/>
          <w:lang w:val="en-US" w:eastAsia="zh-CN"/>
        </w:rPr>
        <w:t>（2）公司项目</w:t>
      </w:r>
      <w:r>
        <w:rPr>
          <w:rStyle w:val="37"/>
          <w:rFonts w:ascii="黑体" w:hAnsi="黑体" w:eastAsia="仿宋"/>
          <w:sz w:val="32"/>
          <w:szCs w:val="32"/>
          <w:highlight w:val="none"/>
        </w:rPr>
        <w:t>销售回款</w:t>
      </w:r>
      <w:r>
        <w:rPr>
          <w:rStyle w:val="37"/>
          <w:rFonts w:hint="eastAsia" w:ascii="黑体" w:hAnsi="黑体" w:eastAsia="仿宋"/>
          <w:sz w:val="32"/>
          <w:szCs w:val="32"/>
          <w:highlight w:val="none"/>
          <w:lang w:val="en-US" w:eastAsia="zh-CN"/>
        </w:rPr>
        <w:t>还款</w:t>
      </w:r>
    </w:p>
    <w:p w14:paraId="023389AE">
      <w:pPr>
        <w:spacing w:before="156" w:after="156"/>
        <w:ind w:firstLine="560"/>
        <w:rPr>
          <w:rFonts w:ascii="仿宋_GB2312"/>
        </w:rPr>
      </w:pPr>
      <w:r>
        <w:rPr>
          <w:rStyle w:val="37"/>
          <w:rFonts w:ascii="仿宋" w:eastAsia="仿宋"/>
          <w:b/>
          <w:sz w:val="32"/>
          <w:szCs w:val="32"/>
          <w:highlight w:val="none"/>
        </w:rPr>
        <w:br w:type="textWrapping" w:clear="all"/>
      </w:r>
      <w:bookmarkStart w:id="30" w:name="_GoBack"/>
      <w:bookmarkEnd w:id="30"/>
    </w:p>
    <w:p w14:paraId="4F3D2561">
      <w:pPr>
        <w:spacing w:before="156" w:after="156"/>
        <w:ind w:firstLine="56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2291036"/>
      <w:docPartObj>
        <w:docPartGallery w:val="autotext"/>
      </w:docPartObj>
    </w:sdtPr>
    <w:sdtContent>
      <w:p w14:paraId="37ABBB42">
        <w:pPr>
          <w:pStyle w:val="10"/>
          <w:spacing w:before="120" w:after="120"/>
          <w:ind w:firstLine="360"/>
          <w:jc w:val="center"/>
        </w:pPr>
        <w:r>
          <w:fldChar w:fldCharType="begin"/>
        </w:r>
        <w:r>
          <w:instrText xml:space="preserve">PAGE   \* MERGEFORMAT</w:instrText>
        </w:r>
        <w:r>
          <w:fldChar w:fldCharType="separate"/>
        </w:r>
        <w:r>
          <w:rPr>
            <w:lang w:val="zh-CN"/>
          </w:rPr>
          <w:t>20</w:t>
        </w:r>
        <w:r>
          <w:fldChar w:fldCharType="end"/>
        </w:r>
      </w:p>
    </w:sdtContent>
  </w:sdt>
  <w:p w14:paraId="7E84C464">
    <w:pPr>
      <w:pStyle w:val="10"/>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FEA6">
    <w:pPr>
      <w:pStyle w:val="10"/>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3AE51">
    <w:pPr>
      <w:pStyle w:val="10"/>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76A3">
    <w:pPr>
      <w:pStyle w:val="11"/>
      <w:pBdr>
        <w:bottom w:val="none" w:color="auto" w:sz="0" w:space="0"/>
      </w:pBdr>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797A4">
    <w:pPr>
      <w:pStyle w:val="11"/>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0ED9">
    <w:pPr>
      <w:pStyle w:val="11"/>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B0260"/>
    <w:multiLevelType w:val="singleLevel"/>
    <w:tmpl w:val="AD0B0260"/>
    <w:lvl w:ilvl="0" w:tentative="0">
      <w:start w:val="3"/>
      <w:numFmt w:val="chineseCounting"/>
      <w:suff w:val="nothing"/>
      <w:lvlText w:val="%1、"/>
      <w:lvlJc w:val="left"/>
      <w:rPr>
        <w:rFonts w:hint="eastAsia"/>
      </w:rPr>
    </w:lvl>
  </w:abstractNum>
  <w:abstractNum w:abstractNumId="1">
    <w:nsid w:val="FCE6310F"/>
    <w:multiLevelType w:val="singleLevel"/>
    <w:tmpl w:val="FCE6310F"/>
    <w:lvl w:ilvl="0" w:tentative="0">
      <w:start w:val="1"/>
      <w:numFmt w:val="chineseCountingThousand"/>
      <w:pStyle w:val="2"/>
      <w:suff w:val="nothing"/>
      <w:lvlText w:val="%1、"/>
      <w:lvlJc w:val="left"/>
      <w:pPr>
        <w:ind w:left="988" w:hanging="420"/>
      </w:pPr>
    </w:lvl>
  </w:abstractNum>
  <w:abstractNum w:abstractNumId="2">
    <w:nsid w:val="0EAF75FE"/>
    <w:multiLevelType w:val="multilevel"/>
    <w:tmpl w:val="0EAF75FE"/>
    <w:lvl w:ilvl="0" w:tentative="0">
      <w:start w:val="1"/>
      <w:numFmt w:val="chineseCountingThousand"/>
      <w:pStyle w:val="3"/>
      <w:suff w:val="nothing"/>
      <w:lvlText w:val="(%1)"/>
      <w:lvlJc w:val="left"/>
      <w:pPr>
        <w:ind w:left="845" w:hanging="420"/>
      </w:pPr>
    </w:lvl>
    <w:lvl w:ilvl="1" w:tentative="0">
      <w:start w:val="1"/>
      <w:numFmt w:val="lowerLetter"/>
      <w:lvlText w:val="%2)"/>
      <w:lvlJc w:val="left"/>
      <w:pPr>
        <w:ind w:left="2824" w:hanging="420"/>
      </w:pPr>
    </w:lvl>
    <w:lvl w:ilvl="2" w:tentative="0">
      <w:start w:val="1"/>
      <w:numFmt w:val="lowerRoman"/>
      <w:lvlText w:val="%3."/>
      <w:lvlJc w:val="right"/>
      <w:pPr>
        <w:ind w:left="3244" w:hanging="420"/>
      </w:pPr>
    </w:lvl>
    <w:lvl w:ilvl="3" w:tentative="0">
      <w:start w:val="1"/>
      <w:numFmt w:val="decimal"/>
      <w:lvlText w:val="%4."/>
      <w:lvlJc w:val="left"/>
      <w:pPr>
        <w:ind w:left="3664" w:hanging="420"/>
      </w:pPr>
    </w:lvl>
    <w:lvl w:ilvl="4" w:tentative="0">
      <w:start w:val="1"/>
      <w:numFmt w:val="lowerLetter"/>
      <w:lvlText w:val="%5)"/>
      <w:lvlJc w:val="left"/>
      <w:pPr>
        <w:ind w:left="4084" w:hanging="420"/>
      </w:pPr>
    </w:lvl>
    <w:lvl w:ilvl="5" w:tentative="0">
      <w:start w:val="1"/>
      <w:numFmt w:val="lowerRoman"/>
      <w:lvlText w:val="%6."/>
      <w:lvlJc w:val="right"/>
      <w:pPr>
        <w:ind w:left="4504" w:hanging="420"/>
      </w:pPr>
    </w:lvl>
    <w:lvl w:ilvl="6" w:tentative="0">
      <w:start w:val="1"/>
      <w:numFmt w:val="decimal"/>
      <w:lvlText w:val="%7."/>
      <w:lvlJc w:val="left"/>
      <w:pPr>
        <w:ind w:left="4924" w:hanging="420"/>
      </w:pPr>
    </w:lvl>
    <w:lvl w:ilvl="7" w:tentative="0">
      <w:start w:val="1"/>
      <w:numFmt w:val="lowerLetter"/>
      <w:lvlText w:val="%8)"/>
      <w:lvlJc w:val="left"/>
      <w:pPr>
        <w:ind w:left="5344" w:hanging="420"/>
      </w:pPr>
    </w:lvl>
    <w:lvl w:ilvl="8" w:tentative="0">
      <w:start w:val="1"/>
      <w:numFmt w:val="lowerRoman"/>
      <w:lvlText w:val="%9."/>
      <w:lvlJc w:val="right"/>
      <w:pPr>
        <w:ind w:left="5764" w:hanging="420"/>
      </w:pPr>
    </w:lvl>
  </w:abstractNum>
  <w:abstractNum w:abstractNumId="3">
    <w:nsid w:val="53F95053"/>
    <w:multiLevelType w:val="multilevel"/>
    <w:tmpl w:val="53F95053"/>
    <w:lvl w:ilvl="0" w:tentative="0">
      <w:start w:val="1"/>
      <w:numFmt w:val="decimal"/>
      <w:pStyle w:val="5"/>
      <w:suff w:val="nothing"/>
      <w:lvlText w:val="%1、"/>
      <w:lvlJc w:val="left"/>
      <w:pPr>
        <w:ind w:left="0" w:firstLine="567"/>
      </w:pPr>
      <w:rPr>
        <w:rFonts w:hint="default"/>
      </w:rPr>
    </w:lvl>
    <w:lvl w:ilvl="1" w:tentative="0">
      <w:start w:val="1"/>
      <w:numFmt w:val="lowerLetter"/>
      <w:lvlText w:val="%2)"/>
      <w:lvlJc w:val="left"/>
      <w:pPr>
        <w:ind w:left="0" w:firstLine="567"/>
      </w:pPr>
      <w:rPr>
        <w:rFonts w:hint="eastAsia"/>
      </w:rPr>
    </w:lvl>
    <w:lvl w:ilvl="2" w:tentative="0">
      <w:start w:val="1"/>
      <w:numFmt w:val="lowerRoman"/>
      <w:lvlText w:val="%3."/>
      <w:lvlJc w:val="right"/>
      <w:pPr>
        <w:ind w:left="0" w:firstLine="567"/>
      </w:pPr>
      <w:rPr>
        <w:rFonts w:hint="eastAsia"/>
      </w:rPr>
    </w:lvl>
    <w:lvl w:ilvl="3" w:tentative="0">
      <w:start w:val="1"/>
      <w:numFmt w:val="decimal"/>
      <w:lvlText w:val="%4."/>
      <w:lvlJc w:val="left"/>
      <w:pPr>
        <w:ind w:left="0" w:firstLine="567"/>
      </w:pPr>
      <w:rPr>
        <w:rFonts w:hint="eastAsia"/>
      </w:rPr>
    </w:lvl>
    <w:lvl w:ilvl="4" w:tentative="0">
      <w:start w:val="1"/>
      <w:numFmt w:val="lowerLetter"/>
      <w:lvlText w:val="%5)"/>
      <w:lvlJc w:val="left"/>
      <w:pPr>
        <w:ind w:left="0" w:firstLine="567"/>
      </w:pPr>
      <w:rPr>
        <w:rFonts w:hint="eastAsia"/>
      </w:rPr>
    </w:lvl>
    <w:lvl w:ilvl="5" w:tentative="0">
      <w:start w:val="1"/>
      <w:numFmt w:val="lowerRoman"/>
      <w:lvlText w:val="%6."/>
      <w:lvlJc w:val="right"/>
      <w:pPr>
        <w:ind w:left="0" w:firstLine="567"/>
      </w:pPr>
      <w:rPr>
        <w:rFonts w:hint="eastAsia"/>
      </w:rPr>
    </w:lvl>
    <w:lvl w:ilvl="6" w:tentative="0">
      <w:start w:val="1"/>
      <w:numFmt w:val="decimal"/>
      <w:lvlText w:val="%7."/>
      <w:lvlJc w:val="left"/>
      <w:pPr>
        <w:ind w:left="0" w:firstLine="567"/>
      </w:pPr>
      <w:rPr>
        <w:rFonts w:hint="eastAsia"/>
      </w:rPr>
    </w:lvl>
    <w:lvl w:ilvl="7" w:tentative="0">
      <w:start w:val="1"/>
      <w:numFmt w:val="lowerLetter"/>
      <w:lvlText w:val="%8)"/>
      <w:lvlJc w:val="left"/>
      <w:pPr>
        <w:ind w:left="0" w:firstLine="567"/>
      </w:pPr>
      <w:rPr>
        <w:rFonts w:hint="eastAsia"/>
      </w:rPr>
    </w:lvl>
    <w:lvl w:ilvl="8" w:tentative="0">
      <w:start w:val="1"/>
      <w:numFmt w:val="lowerRoman"/>
      <w:lvlText w:val="%9."/>
      <w:lvlJc w:val="right"/>
      <w:pPr>
        <w:ind w:left="0" w:firstLine="567"/>
      </w:pPr>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1F"/>
    <w:rsid w:val="006C0131"/>
    <w:rsid w:val="0099773C"/>
    <w:rsid w:val="00B1591F"/>
    <w:rsid w:val="1F95747F"/>
    <w:rsid w:val="2BBE557E"/>
    <w:rsid w:val="4C5979B8"/>
    <w:rsid w:val="700F2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50" w:beforeLines="50" w:after="50" w:afterLines="50" w:line="360" w:lineRule="auto"/>
      <w:ind w:firstLine="200" w:firstLineChars="200"/>
      <w:jc w:val="both"/>
    </w:pPr>
    <w:rPr>
      <w:rFonts w:ascii="Times New Roman" w:hAnsi="Times New Roman" w:eastAsia="仿宋_GB2312" w:cs="Times New Roman"/>
      <w:kern w:val="2"/>
      <w:sz w:val="28"/>
      <w:szCs w:val="22"/>
      <w:lang w:val="en-US" w:eastAsia="zh-CN" w:bidi="ar-SA"/>
    </w:rPr>
  </w:style>
  <w:style w:type="paragraph" w:styleId="2">
    <w:name w:val="heading 1"/>
    <w:basedOn w:val="1"/>
    <w:next w:val="1"/>
    <w:link w:val="20"/>
    <w:autoRedefine/>
    <w:qFormat/>
    <w:uiPriority w:val="9"/>
    <w:pPr>
      <w:numPr>
        <w:ilvl w:val="0"/>
        <w:numId w:val="1"/>
      </w:numPr>
      <w:adjustRightInd/>
      <w:spacing w:before="156" w:after="156"/>
      <w:ind w:left="0" w:firstLine="567" w:firstLineChars="0"/>
      <w:jc w:val="left"/>
      <w:outlineLvl w:val="0"/>
    </w:pPr>
    <w:rPr>
      <w:rFonts w:ascii="仿宋_GB2312" w:hAnsiTheme="minorHAnsi" w:cstheme="minorBidi"/>
      <w:b/>
      <w:bCs/>
      <w:kern w:val="44"/>
      <w:sz w:val="32"/>
      <w:szCs w:val="44"/>
    </w:rPr>
  </w:style>
  <w:style w:type="paragraph" w:styleId="3">
    <w:name w:val="heading 2"/>
    <w:basedOn w:val="1"/>
    <w:next w:val="1"/>
    <w:link w:val="21"/>
    <w:autoRedefine/>
    <w:unhideWhenUsed/>
    <w:qFormat/>
    <w:uiPriority w:val="9"/>
    <w:pPr>
      <w:numPr>
        <w:ilvl w:val="0"/>
        <w:numId w:val="2"/>
      </w:numPr>
      <w:tabs>
        <w:tab w:val="left" w:pos="1701"/>
      </w:tabs>
      <w:spacing w:before="156" w:after="156"/>
      <w:ind w:left="0" w:firstLine="567" w:firstLineChars="0"/>
      <w:jc w:val="left"/>
      <w:outlineLvl w:val="1"/>
    </w:pPr>
    <w:rPr>
      <w:rFonts w:ascii="仿宋_GB2312" w:hAnsiTheme="majorHAnsi" w:cstheme="majorBidi"/>
      <w:b/>
      <w:bCs/>
      <w:szCs w:val="32"/>
    </w:rPr>
  </w:style>
  <w:style w:type="paragraph" w:styleId="4">
    <w:name w:val="heading 3"/>
    <w:basedOn w:val="1"/>
    <w:next w:val="1"/>
    <w:link w:val="22"/>
    <w:autoRedefine/>
    <w:unhideWhenUsed/>
    <w:qFormat/>
    <w:uiPriority w:val="9"/>
    <w:pPr>
      <w:keepNext/>
      <w:keepLines/>
      <w:tabs>
        <w:tab w:val="left" w:pos="567"/>
      </w:tabs>
      <w:wordWrap w:val="0"/>
      <w:spacing w:before="156" w:after="156"/>
      <w:ind w:firstLine="560"/>
      <w:jc w:val="left"/>
      <w:outlineLvl w:val="2"/>
    </w:pPr>
    <w:rPr>
      <w:szCs w:val="21"/>
    </w:rPr>
  </w:style>
  <w:style w:type="paragraph" w:styleId="5">
    <w:name w:val="heading 4"/>
    <w:basedOn w:val="1"/>
    <w:next w:val="1"/>
    <w:link w:val="23"/>
    <w:autoRedefine/>
    <w:unhideWhenUsed/>
    <w:qFormat/>
    <w:uiPriority w:val="9"/>
    <w:pPr>
      <w:keepNext/>
      <w:keepLines/>
      <w:numPr>
        <w:ilvl w:val="0"/>
        <w:numId w:val="3"/>
      </w:numPr>
      <w:spacing w:before="156" w:after="156"/>
      <w:ind w:firstLine="0" w:firstLineChars="0"/>
      <w:outlineLvl w:val="3"/>
    </w:pPr>
    <w:rPr>
      <w:rFonts w:asciiTheme="majorHAnsi" w:hAnsiTheme="majorHAnsi" w:cstheme="majorBidi"/>
      <w:b/>
      <w:bCs/>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unhideWhenUsed/>
    <w:qFormat/>
    <w:uiPriority w:val="99"/>
    <w:pPr>
      <w:jc w:val="left"/>
    </w:pPr>
  </w:style>
  <w:style w:type="paragraph" w:styleId="7">
    <w:name w:val="Body Text"/>
    <w:basedOn w:val="1"/>
    <w:link w:val="35"/>
    <w:qFormat/>
    <w:uiPriority w:val="0"/>
    <w:pPr>
      <w:adjustRightInd/>
      <w:snapToGrid/>
      <w:spacing w:before="0" w:beforeLines="0" w:after="0" w:afterLines="0" w:line="240" w:lineRule="auto"/>
      <w:ind w:firstLine="0" w:firstLineChars="0"/>
    </w:pPr>
    <w:rPr>
      <w:rFonts w:ascii="宋体" w:hAnsi="宋体" w:eastAsia="宋体" w:cs="宋体"/>
      <w:sz w:val="30"/>
      <w:szCs w:val="30"/>
    </w:rPr>
  </w:style>
  <w:style w:type="paragraph" w:styleId="8">
    <w:name w:val="toc 3"/>
    <w:basedOn w:val="1"/>
    <w:next w:val="1"/>
    <w:autoRedefine/>
    <w:unhideWhenUsed/>
    <w:qFormat/>
    <w:uiPriority w:val="39"/>
    <w:pPr>
      <w:ind w:left="840" w:leftChars="400"/>
    </w:pPr>
  </w:style>
  <w:style w:type="paragraph" w:styleId="9">
    <w:name w:val="Balloon Text"/>
    <w:basedOn w:val="1"/>
    <w:link w:val="36"/>
    <w:semiHidden/>
    <w:unhideWhenUsed/>
    <w:qFormat/>
    <w:uiPriority w:val="99"/>
    <w:pPr>
      <w:spacing w:before="0" w:after="0" w:line="240" w:lineRule="auto"/>
    </w:pPr>
    <w:rPr>
      <w:sz w:val="18"/>
      <w:szCs w:val="18"/>
    </w:rPr>
  </w:style>
  <w:style w:type="paragraph" w:styleId="10">
    <w:name w:val="footer"/>
    <w:basedOn w:val="1"/>
    <w:link w:val="26"/>
    <w:unhideWhenUsed/>
    <w:qFormat/>
    <w:uiPriority w:val="99"/>
    <w:pPr>
      <w:tabs>
        <w:tab w:val="center" w:pos="4153"/>
        <w:tab w:val="right" w:pos="8306"/>
      </w:tabs>
      <w:spacing w:line="240" w:lineRule="atLeast"/>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tabs>
        <w:tab w:val="right" w:leader="dot" w:pos="8296"/>
      </w:tabs>
      <w:spacing w:before="0" w:beforeLines="0" w:after="0" w:afterLines="0"/>
      <w:ind w:left="560" w:leftChars="200" w:firstLine="560"/>
    </w:pPr>
  </w:style>
  <w:style w:type="paragraph" w:styleId="14">
    <w:name w:val="annotation subject"/>
    <w:basedOn w:val="6"/>
    <w:next w:val="6"/>
    <w:link w:val="28"/>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标题 1 Char"/>
    <w:basedOn w:val="17"/>
    <w:link w:val="2"/>
    <w:qFormat/>
    <w:uiPriority w:val="9"/>
    <w:rPr>
      <w:rFonts w:ascii="仿宋_GB2312" w:eastAsia="仿宋_GB2312"/>
      <w:b/>
      <w:bCs/>
      <w:kern w:val="44"/>
      <w:sz w:val="32"/>
      <w:szCs w:val="44"/>
    </w:rPr>
  </w:style>
  <w:style w:type="character" w:customStyle="1" w:styleId="21">
    <w:name w:val="标题 2 Char"/>
    <w:basedOn w:val="17"/>
    <w:link w:val="3"/>
    <w:qFormat/>
    <w:uiPriority w:val="9"/>
    <w:rPr>
      <w:rFonts w:ascii="仿宋_GB2312" w:eastAsia="仿宋_GB2312" w:hAnsiTheme="majorHAnsi" w:cstheme="majorBidi"/>
      <w:b/>
      <w:bCs/>
      <w:sz w:val="28"/>
      <w:szCs w:val="32"/>
    </w:rPr>
  </w:style>
  <w:style w:type="character" w:customStyle="1" w:styleId="22">
    <w:name w:val="标题 3 Char"/>
    <w:basedOn w:val="17"/>
    <w:link w:val="4"/>
    <w:qFormat/>
    <w:uiPriority w:val="9"/>
    <w:rPr>
      <w:rFonts w:ascii="Times New Roman" w:hAnsi="Times New Roman" w:eastAsia="仿宋_GB2312" w:cs="Times New Roman"/>
      <w:sz w:val="28"/>
      <w:szCs w:val="21"/>
    </w:rPr>
  </w:style>
  <w:style w:type="character" w:customStyle="1" w:styleId="23">
    <w:name w:val="标题 4 Char"/>
    <w:basedOn w:val="17"/>
    <w:link w:val="5"/>
    <w:qFormat/>
    <w:uiPriority w:val="9"/>
    <w:rPr>
      <w:rFonts w:eastAsia="仿宋_GB2312" w:asciiTheme="majorHAnsi" w:hAnsiTheme="majorHAnsi" w:cstheme="majorBidi"/>
      <w:b/>
      <w:bCs/>
      <w:sz w:val="28"/>
      <w:szCs w:val="28"/>
    </w:rPr>
  </w:style>
  <w:style w:type="paragraph" w:styleId="24">
    <w:name w:val="List Paragraph"/>
    <w:basedOn w:val="1"/>
    <w:qFormat/>
    <w:uiPriority w:val="0"/>
    <w:pPr>
      <w:ind w:firstLine="420"/>
    </w:pPr>
  </w:style>
  <w:style w:type="character" w:customStyle="1" w:styleId="25">
    <w:name w:val="页眉 Char"/>
    <w:basedOn w:val="17"/>
    <w:link w:val="11"/>
    <w:qFormat/>
    <w:uiPriority w:val="99"/>
    <w:rPr>
      <w:rFonts w:ascii="Times New Roman" w:hAnsi="Times New Roman" w:eastAsia="仿宋_GB2312" w:cs="Times New Roman"/>
      <w:sz w:val="18"/>
      <w:szCs w:val="18"/>
    </w:rPr>
  </w:style>
  <w:style w:type="character" w:customStyle="1" w:styleId="26">
    <w:name w:val="页脚 Char"/>
    <w:basedOn w:val="17"/>
    <w:link w:val="10"/>
    <w:qFormat/>
    <w:uiPriority w:val="99"/>
    <w:rPr>
      <w:rFonts w:ascii="Times New Roman" w:hAnsi="Times New Roman" w:eastAsia="仿宋_GB2312" w:cs="Times New Roman"/>
      <w:sz w:val="18"/>
      <w:szCs w:val="18"/>
    </w:rPr>
  </w:style>
  <w:style w:type="character" w:customStyle="1" w:styleId="27">
    <w:name w:val="批注文字 Char"/>
    <w:basedOn w:val="17"/>
    <w:link w:val="6"/>
    <w:qFormat/>
    <w:uiPriority w:val="99"/>
    <w:rPr>
      <w:rFonts w:ascii="Times New Roman" w:hAnsi="Times New Roman" w:eastAsia="仿宋_GB2312" w:cs="Times New Roman"/>
      <w:sz w:val="28"/>
    </w:rPr>
  </w:style>
  <w:style w:type="character" w:customStyle="1" w:styleId="28">
    <w:name w:val="批注主题 Char"/>
    <w:basedOn w:val="27"/>
    <w:link w:val="14"/>
    <w:semiHidden/>
    <w:qFormat/>
    <w:uiPriority w:val="99"/>
    <w:rPr>
      <w:rFonts w:ascii="Times New Roman" w:hAnsi="Times New Roman" w:eastAsia="仿宋_GB2312" w:cs="Times New Roman"/>
      <w:b/>
      <w:bCs/>
      <w:sz w:val="28"/>
    </w:rPr>
  </w:style>
  <w:style w:type="paragraph" w:customStyle="1" w:styleId="29">
    <w:name w:val="Revision"/>
    <w:hidden/>
    <w:semiHidden/>
    <w:qFormat/>
    <w:uiPriority w:val="99"/>
    <w:rPr>
      <w:rFonts w:ascii="Times New Roman" w:hAnsi="Times New Roman" w:eastAsia="宋体" w:cs="Times New Roman"/>
      <w:kern w:val="2"/>
      <w:sz w:val="21"/>
      <w:szCs w:val="22"/>
      <w:lang w:val="en-US" w:eastAsia="zh-CN" w:bidi="ar-SA"/>
    </w:rPr>
  </w:style>
  <w:style w:type="character" w:customStyle="1" w:styleId="30">
    <w:name w:val="font41"/>
    <w:basedOn w:val="17"/>
    <w:qFormat/>
    <w:uiPriority w:val="0"/>
    <w:rPr>
      <w:rFonts w:hint="eastAsia" w:ascii="仿宋_GB2312" w:eastAsia="仿宋_GB2312" w:cs="仿宋_GB2312"/>
      <w:color w:val="000000"/>
      <w:sz w:val="24"/>
      <w:szCs w:val="24"/>
      <w:u w:val="none"/>
    </w:rPr>
  </w:style>
  <w:style w:type="paragraph" w:customStyle="1" w:styleId="31">
    <w:name w:val="Table Paragraph"/>
    <w:basedOn w:val="1"/>
    <w:qFormat/>
    <w:uiPriority w:val="1"/>
    <w:pPr>
      <w:autoSpaceDE w:val="0"/>
      <w:autoSpaceDN w:val="0"/>
      <w:adjustRightInd/>
      <w:snapToGrid/>
      <w:spacing w:before="0" w:beforeLines="0" w:after="0" w:afterLines="0" w:line="240" w:lineRule="auto"/>
      <w:ind w:firstLine="0" w:firstLineChars="0"/>
      <w:jc w:val="left"/>
    </w:pPr>
    <w:rPr>
      <w:rFonts w:ascii="宋体" w:hAnsi="宋体" w:eastAsia="宋体" w:cs="宋体"/>
      <w:kern w:val="0"/>
      <w:sz w:val="22"/>
      <w:lang w:eastAsia="en-US"/>
    </w:rPr>
  </w:style>
  <w:style w:type="paragraph" w:styleId="32">
    <w:name w:val="No Spacing"/>
    <w:link w:val="33"/>
    <w:qFormat/>
    <w:uiPriority w:val="1"/>
    <w:rPr>
      <w:rFonts w:asciiTheme="minorHAnsi" w:hAnsiTheme="minorHAnsi" w:eastAsiaTheme="minorEastAsia" w:cstheme="minorBidi"/>
      <w:kern w:val="0"/>
      <w:sz w:val="22"/>
      <w:szCs w:val="22"/>
      <w:lang w:val="en-US" w:eastAsia="zh-CN" w:bidi="ar-SA"/>
    </w:rPr>
  </w:style>
  <w:style w:type="character" w:customStyle="1" w:styleId="33">
    <w:name w:val="无间隔 Char"/>
    <w:basedOn w:val="17"/>
    <w:link w:val="32"/>
    <w:qFormat/>
    <w:uiPriority w:val="1"/>
    <w:rPr>
      <w:kern w:val="0"/>
      <w:sz w:val="22"/>
    </w:rPr>
  </w:style>
  <w:style w:type="paragraph" w:customStyle="1" w:styleId="34">
    <w:name w:val="TOC Heading"/>
    <w:basedOn w:val="2"/>
    <w:next w:val="1"/>
    <w:unhideWhenUsed/>
    <w:qFormat/>
    <w:uiPriority w:val="39"/>
    <w:pPr>
      <w:keepNext/>
      <w:keepLines/>
      <w:widowControl/>
      <w:numPr>
        <w:numId w:val="0"/>
      </w:numPr>
      <w:snapToGrid/>
      <w:spacing w:before="240" w:beforeLines="0" w:after="0" w:afterLines="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35">
    <w:name w:val="正文文本 Char"/>
    <w:basedOn w:val="17"/>
    <w:link w:val="7"/>
    <w:qFormat/>
    <w:uiPriority w:val="0"/>
    <w:rPr>
      <w:rFonts w:ascii="宋体" w:hAnsi="宋体" w:eastAsia="宋体" w:cs="宋体"/>
      <w:sz w:val="30"/>
      <w:szCs w:val="30"/>
    </w:rPr>
  </w:style>
  <w:style w:type="character" w:customStyle="1" w:styleId="36">
    <w:name w:val="批注框文本 Char"/>
    <w:basedOn w:val="17"/>
    <w:link w:val="9"/>
    <w:semiHidden/>
    <w:qFormat/>
    <w:uiPriority w:val="99"/>
    <w:rPr>
      <w:rFonts w:ascii="Times New Roman" w:hAnsi="Times New Roman" w:eastAsia="仿宋_GB2312" w:cs="Times New Roman"/>
      <w:sz w:val="18"/>
      <w:szCs w:val="18"/>
    </w:rPr>
  </w:style>
  <w:style w:type="character" w:customStyle="1" w:styleId="3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2571</Words>
  <Characters>2980</Characters>
  <Lines>71</Lines>
  <Paragraphs>20</Paragraphs>
  <TotalTime>23</TotalTime>
  <ScaleCrop>false</ScaleCrop>
  <LinksUpToDate>false</LinksUpToDate>
  <CharactersWithSpaces>3015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2023-03-23T09:37:00Z</dcterms:created>
  <dc:creator>xb21cn</dc:creator>
  <cp:lastModifiedBy>全志才</cp:lastModifiedBy>
  <dcterms:modified xsi:type="dcterms:W3CDTF">2025-03-21T07:11:18Z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eyJoZGlkIjoiNTFjNzJkYTk5M2E2NThkNTdmZDgwMTA5MDk2NWVlMzgiLCJ1c2VySWQiOiI0NTg3Njg5MTUifQ==</vt:lpwstr>
  </property>
  <property fmtid="{D5CDD505-2E9C-101B-9397-08002B2CF9AE}" pid="3" name="KSOProductBuildVer">
    <vt:lpwstr>2052-12.1.0.20305</vt:lpwstr>
  </property>
  <property fmtid="{D5CDD505-2E9C-101B-9397-08002B2CF9AE}" pid="4" name="ICV">
    <vt:lpwstr>5A14E51F38F442B587241C5F0121C36C_12</vt:lpwstr>
  </property>
</Properties>
</file>