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lang w:val="en-US" w:eastAsia="zh-CN"/>
        </w:rPr>
      </w:pPr>
      <w:bookmarkStart w:id="0" w:name="_GoBack"/>
      <w:r>
        <w:rPr>
          <w:rFonts w:hint="eastAsia"/>
          <w:lang w:val="en-US" w:eastAsia="zh-CN"/>
        </w:rPr>
        <w:t>漳州商业地产开发项目（一期）</w:t>
      </w:r>
    </w:p>
    <w:p>
      <w:pPr>
        <w:pStyle w:val="3"/>
        <w:bidi w:val="0"/>
        <w:jc w:val="center"/>
        <w:rPr>
          <w:rFonts w:hint="eastAsia"/>
          <w:lang w:val="en-US" w:eastAsia="zh-CN"/>
        </w:rPr>
      </w:pPr>
      <w:r>
        <w:rPr>
          <w:rFonts w:hint="eastAsia"/>
          <w:lang w:val="en-US" w:eastAsia="zh-CN"/>
        </w:rPr>
        <w:t>合作方案</w:t>
      </w:r>
    </w:p>
    <w:p>
      <w:pPr>
        <w:rPr>
          <w:rFonts w:hint="eastAsia"/>
          <w:lang w:val="en-US" w:eastAsia="zh-CN"/>
        </w:rPr>
      </w:pPr>
    </w:p>
    <w:p>
      <w:pPr>
        <w:tabs>
          <w:tab w:val="left" w:pos="879"/>
        </w:tabs>
        <w:ind w:firstLine="641" w:firstLineChars="200"/>
        <w:rPr>
          <w:rFonts w:hint="eastAsia" w:ascii="仿宋" w:hAnsi="仿宋" w:eastAsia="仿宋" w:cs="Times New Roman"/>
          <w:sz w:val="30"/>
          <w:szCs w:val="30"/>
          <w:lang w:val="en-US" w:eastAsia="zh-CN"/>
        </w:rPr>
      </w:pPr>
      <w:r>
        <w:rPr>
          <w:rStyle w:val="9"/>
          <w:rFonts w:hint="eastAsia" w:ascii="宋体" w:hAnsi="宋体" w:eastAsia="宋体" w:cs="宋体"/>
          <w:sz w:val="32"/>
          <w:szCs w:val="32"/>
          <w:lang w:val="en-US" w:eastAsia="zh-CN"/>
        </w:rPr>
        <w:t>项目简介：</w:t>
      </w:r>
      <w:r>
        <w:rPr>
          <w:rFonts w:hint="eastAsia" w:ascii="仿宋" w:hAnsi="仿宋" w:eastAsia="仿宋" w:cs="Times New Roman"/>
          <w:sz w:val="30"/>
          <w:szCs w:val="30"/>
          <w:lang w:val="en-US" w:eastAsia="zh-CN"/>
        </w:rPr>
        <w:t>项目位于福建省漳州市高新区站前片区的2024G18地块，位于龙江南路以东、圆通大道以北，南邻漳州动车站、漳州客运南站，用地面积128983.42平方米，约193.48亩，土地用途为商业服务业用地-商业用地（零售商业用地、餐饮用地、旅馆用地）、商务金融用地、其他商业服务业用地，容积率大于1且小于</w:t>
      </w:r>
      <w:r>
        <w:rPr>
          <w:rFonts w:hint="default" w:ascii="仿宋" w:hAnsi="仿宋" w:eastAsia="仿宋" w:cs="Times New Roman"/>
          <w:sz w:val="30"/>
          <w:szCs w:val="30"/>
          <w:lang w:val="en-US" w:eastAsia="zh-CN"/>
        </w:rPr>
        <w:t>3</w:t>
      </w:r>
      <w:r>
        <w:rPr>
          <w:rFonts w:hint="eastAsia" w:ascii="仿宋" w:hAnsi="仿宋" w:eastAsia="仿宋" w:cs="Times New Roman"/>
          <w:sz w:val="30"/>
          <w:szCs w:val="30"/>
          <w:lang w:val="en-US" w:eastAsia="zh-CN"/>
        </w:rPr>
        <w:t>，限高180米，</w:t>
      </w:r>
    </w:p>
    <w:p>
      <w:pPr>
        <w:tabs>
          <w:tab w:val="left" w:pos="879"/>
        </w:tabs>
        <w:ind w:firstLine="600" w:firstLineChars="200"/>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本项目由漳州圆山发展有限公司子公司漳州圆山承悦投资有限公司负责站前片区2024G18地块项目的拿地、投资、开发、建设及运营。漳州圆山发展有限公司于2017年12月成立，系国家级漳州高新技术产业开发区下属国有企业，注册资本12.38亿元。公司下设漳州高新区市政公用事业服务有限公司、漳州高新区创业投资有限公司、漳州圆山水仙花发展有限公司、漳州圆山人力资源有限公司、漳州高新区教育集团公司、漳州市龙江商贸有限公司、漳州市圆山资产管理有限公司等子公司。</w:t>
      </w:r>
    </w:p>
    <w:p>
      <w:pPr>
        <w:tabs>
          <w:tab w:val="left" w:pos="879"/>
        </w:tabs>
        <w:ind w:firstLine="600" w:firstLineChars="200"/>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公司主要承担综合性投融资任务，经营范围包括对建筑业、贸易业、金融业、房地产业、租赁和商贸服务业、公共设施管理业等行业投资；从事城市基础设施的投资、建设和运营；科技金融、招商服务、花卉种植与农业科研、工艺美术品零售；区域内外人才智力交流引进；毕业生就业服务；人力资源服务等。</w:t>
      </w:r>
    </w:p>
    <w:p>
      <w:pPr>
        <w:tabs>
          <w:tab w:val="left" w:pos="879"/>
        </w:tabs>
        <w:ind w:firstLine="600" w:firstLineChars="200"/>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漳州圆山发展有限公司持续深入贯彻落实漳州市委、市政府实施“跨江南扩”城市发展战略和构筑“一江两岸”城市建设格局的工作部署，在漳州高新区领导下，依托山水生态环境、文化特色资源和区域性综合交通枢纽等优势，大力发展现代服务业、商贸流通业和科技文化创意产业等，助力漳州高新区形成“一城两片三廊四组团”，生态、经济、生活、文化、教育等全方位融合的高品质、生态型宜居宜业新城，为我区打造“区域协同发展合作区、战略产业集中承载区、创新服务品质区、生态文明示范区以及深化改革先行区”贡献出应有的力量。</w:t>
      </w:r>
    </w:p>
    <w:p>
      <w:pPr>
        <w:tabs>
          <w:tab w:val="left" w:pos="879"/>
        </w:tabs>
        <w:ind w:firstLine="600" w:firstLineChars="200"/>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本项目已完成项目公司设立，项目公司名称： 漳州圆山承悦投资有限公司，注册资本20亿，其中漳州圆山发展有限公司（简称漳州圆山）持股34%，漳州泱辰创业投资合伙企业（简称漳州泱辰）持股33%，广州维政千帆科技开发有限公司（简称广州维政）持股33%。</w:t>
      </w:r>
    </w:p>
    <w:p>
      <w:pPr>
        <w:pStyle w:val="2"/>
        <w:rPr>
          <w:rFonts w:hint="eastAsia"/>
          <w:lang w:val="en-US" w:eastAsia="zh-CN"/>
        </w:rPr>
      </w:pPr>
    </w:p>
    <w:p>
      <w:pPr>
        <w:pStyle w:val="2"/>
        <w:rPr>
          <w:rFonts w:hint="eastAsia"/>
          <w:lang w:val="en-US" w:eastAsia="zh-CN"/>
        </w:rPr>
      </w:pPr>
    </w:p>
    <w:p>
      <w:pPr>
        <w:pStyle w:val="2"/>
        <w:rPr>
          <w:rFonts w:hint="eastAsia" w:ascii="仿宋" w:hAnsi="仿宋" w:eastAsia="仿宋" w:cs="Times New Roman"/>
          <w:kern w:val="2"/>
          <w:sz w:val="30"/>
          <w:szCs w:val="30"/>
          <w:lang w:val="en-US" w:eastAsia="zh-CN" w:bidi="ar-SA"/>
        </w:rPr>
      </w:pPr>
      <w:r>
        <w:rPr>
          <w:rStyle w:val="9"/>
          <w:rFonts w:hint="eastAsia" w:ascii="宋体" w:hAnsi="宋体" w:eastAsia="宋体" w:cs="宋体"/>
          <w:kern w:val="2"/>
          <w:sz w:val="32"/>
          <w:lang w:val="en-US" w:eastAsia="zh-CN" w:bidi="ar-SA"/>
        </w:rPr>
        <w:t>合作方式：</w:t>
      </w:r>
      <w:r>
        <w:rPr>
          <w:rFonts w:hint="eastAsia" w:ascii="仿宋" w:hAnsi="仿宋" w:eastAsia="仿宋" w:cs="Times New Roman"/>
          <w:kern w:val="2"/>
          <w:sz w:val="30"/>
          <w:szCs w:val="30"/>
          <w:lang w:val="en-US" w:eastAsia="zh-CN" w:bidi="ar-SA"/>
        </w:rPr>
        <w:t>因项目推进需要，由项目公司股东漳州圆山牵头，引进中城光丽实业有限公司（简称中城实业），中城实业通过发起设立有限合伙企业的方式参与本项目，具体结构如下：</w:t>
      </w:r>
    </w:p>
    <w:p>
      <w:pPr>
        <w:pStyle w:val="2"/>
        <w:rPr>
          <w:rFonts w:hint="eastAsia" w:ascii="仿宋" w:hAnsi="仿宋" w:eastAsia="仿宋" w:cs="Times New Roman"/>
          <w:kern w:val="2"/>
          <w:sz w:val="30"/>
          <w:szCs w:val="30"/>
          <w:lang w:val="en-US" w:eastAsia="zh-CN" w:bidi="ar-SA"/>
        </w:rPr>
      </w:pPr>
    </w:p>
    <w:p>
      <w:pPr>
        <w:pStyle w:val="2"/>
        <w:rPr>
          <w:rFonts w:hint="eastAsia" w:ascii="仿宋" w:hAnsi="仿宋" w:eastAsia="仿宋" w:cs="Times New Roman"/>
          <w:kern w:val="2"/>
          <w:sz w:val="30"/>
          <w:szCs w:val="30"/>
          <w:lang w:val="en-US" w:eastAsia="zh-CN" w:bidi="ar-SA"/>
        </w:rPr>
      </w:pPr>
    </w:p>
    <w:p>
      <w:pPr>
        <w:pStyle w:val="2"/>
        <w:rPr>
          <w:rFonts w:hint="eastAsia" w:ascii="仿宋" w:hAnsi="仿宋" w:eastAsia="仿宋" w:cs="Times New Roman"/>
          <w:kern w:val="2"/>
          <w:sz w:val="30"/>
          <w:szCs w:val="30"/>
          <w:lang w:val="en-US" w:eastAsia="zh-CN" w:bidi="ar-SA"/>
        </w:rPr>
      </w:pPr>
      <w:r>
        <w:drawing>
          <wp:anchor distT="0" distB="0" distL="114300" distR="114300" simplePos="0" relativeHeight="251659264" behindDoc="0" locked="0" layoutInCell="1" allowOverlap="1">
            <wp:simplePos x="0" y="0"/>
            <wp:positionH relativeFrom="column">
              <wp:posOffset>-666750</wp:posOffset>
            </wp:positionH>
            <wp:positionV relativeFrom="paragraph">
              <wp:posOffset>-394335</wp:posOffset>
            </wp:positionV>
            <wp:extent cx="6253480" cy="3036570"/>
            <wp:effectExtent l="0" t="0" r="4445" b="190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6253480" cy="3036570"/>
                    </a:xfrm>
                    <a:prstGeom prst="rect">
                      <a:avLst/>
                    </a:prstGeom>
                    <a:noFill/>
                    <a:ln>
                      <a:noFill/>
                    </a:ln>
                  </pic:spPr>
                </pic:pic>
              </a:graphicData>
            </a:graphic>
          </wp:anchor>
        </w:drawing>
      </w:r>
    </w:p>
    <w:p>
      <w:pPr>
        <w:pStyle w:val="2"/>
        <w:rPr>
          <w:rFonts w:hint="eastAsia" w:ascii="仿宋" w:hAnsi="仿宋" w:eastAsia="仿宋" w:cs="Times New Roman"/>
          <w:kern w:val="2"/>
          <w:sz w:val="30"/>
          <w:szCs w:val="30"/>
          <w:lang w:val="en-US" w:eastAsia="zh-CN" w:bidi="ar-SA"/>
        </w:rPr>
      </w:pPr>
    </w:p>
    <w:p>
      <w:pPr>
        <w:pStyle w:val="2"/>
        <w:rPr>
          <w:rFonts w:hint="eastAsia" w:ascii="仿宋" w:hAnsi="仿宋" w:eastAsia="仿宋" w:cs="Times New Roman"/>
          <w:kern w:val="2"/>
          <w:sz w:val="30"/>
          <w:szCs w:val="30"/>
          <w:lang w:val="en-US" w:eastAsia="zh-CN" w:bidi="ar-SA"/>
        </w:rPr>
      </w:pPr>
    </w:p>
    <w:p>
      <w:pPr>
        <w:pStyle w:val="2"/>
        <w:rPr>
          <w:rFonts w:hint="eastAsia" w:ascii="仿宋" w:hAnsi="仿宋" w:eastAsia="仿宋" w:cs="Times New Roman"/>
          <w:kern w:val="2"/>
          <w:sz w:val="30"/>
          <w:szCs w:val="30"/>
          <w:lang w:val="en-US" w:eastAsia="zh-CN" w:bidi="ar-SA"/>
        </w:rPr>
      </w:pPr>
    </w:p>
    <w:p>
      <w:pPr>
        <w:pStyle w:val="2"/>
        <w:rPr>
          <w:rFonts w:hint="eastAsia" w:ascii="仿宋" w:hAnsi="仿宋" w:eastAsia="仿宋" w:cs="Times New Roman"/>
          <w:kern w:val="2"/>
          <w:sz w:val="30"/>
          <w:szCs w:val="30"/>
          <w:lang w:val="en-US" w:eastAsia="zh-CN" w:bidi="ar-SA"/>
        </w:rPr>
      </w:pPr>
    </w:p>
    <w:p>
      <w:pPr>
        <w:pStyle w:val="2"/>
        <w:rPr>
          <w:rFonts w:hint="eastAsia" w:ascii="仿宋" w:hAnsi="仿宋" w:eastAsia="仿宋" w:cs="Times New Roman"/>
          <w:kern w:val="2"/>
          <w:sz w:val="30"/>
          <w:szCs w:val="30"/>
          <w:lang w:val="en-US" w:eastAsia="zh-CN" w:bidi="ar-SA"/>
        </w:rPr>
      </w:pPr>
    </w:p>
    <w:p>
      <w:pPr>
        <w:pStyle w:val="2"/>
        <w:rPr>
          <w:rFonts w:hint="eastAsia" w:ascii="仿宋" w:hAnsi="仿宋" w:eastAsia="仿宋" w:cs="Times New Roman"/>
          <w:kern w:val="2"/>
          <w:sz w:val="30"/>
          <w:szCs w:val="30"/>
          <w:lang w:val="en-US" w:eastAsia="zh-CN" w:bidi="ar-SA"/>
        </w:rPr>
      </w:pPr>
    </w:p>
    <w:p>
      <w:pPr>
        <w:pStyle w:val="2"/>
        <w:rPr>
          <w:rFonts w:hint="eastAsia"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交易流程：</w:t>
      </w:r>
    </w:p>
    <w:p>
      <w:pPr>
        <w:pStyle w:val="2"/>
        <w:numPr>
          <w:ilvl w:val="0"/>
          <w:numId w:val="2"/>
        </w:numPr>
        <w:rPr>
          <w:rFonts w:hint="eastAsia"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中城实业作为GP与本项目的投资人LP组建合伙企业，其中中城实业作为GP认缴100万元，LP实缴6.6亿；</w:t>
      </w:r>
    </w:p>
    <w:p>
      <w:pPr>
        <w:pStyle w:val="2"/>
        <w:numPr>
          <w:ilvl w:val="0"/>
          <w:numId w:val="2"/>
        </w:numPr>
        <w:rPr>
          <w:rFonts w:hint="default"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合伙企业与项目公司原股东广州维政与漳州泱辰签订股权转让协议，受让其名下的全部项目公司股权；同时，合伙企业与漳州高鑫产业投资母基金管理合伙企业（有限合伙）（简称高鑫产投基金）签订股权回购协议，约定3年后，由高新产投基金回购合伙企业持有的项目公司66%的股权。合伙企业完成项目公司对应的股权受让之后，项目公司的注册资本须从原来的20亿元减资至10亿元，合伙企业作为项目公司第一大股东持股项目公司66%股权，合伙企业将对应的项目资本金6.6亿元实缴至项目公司；</w:t>
      </w:r>
    </w:p>
    <w:p>
      <w:pPr>
        <w:pStyle w:val="2"/>
        <w:numPr>
          <w:ilvl w:val="0"/>
          <w:numId w:val="2"/>
        </w:numPr>
        <w:rPr>
          <w:rFonts w:hint="default"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项目公司通过竞争性磋商等方式完成本项目的施工招标，一期项目施工总规模不小于33亿；</w:t>
      </w:r>
    </w:p>
    <w:p>
      <w:pPr>
        <w:pStyle w:val="2"/>
        <w:numPr>
          <w:ilvl w:val="0"/>
          <w:numId w:val="2"/>
        </w:numPr>
        <w:rPr>
          <w:rFonts w:hint="default"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项目公司资本金实缴到位之后，由漳州圆山牵头完成本项目的项目贷款的申请；</w:t>
      </w:r>
    </w:p>
    <w:p>
      <w:pPr>
        <w:pStyle w:val="2"/>
        <w:numPr>
          <w:ilvl w:val="0"/>
          <w:numId w:val="2"/>
        </w:numPr>
        <w:rPr>
          <w:rFonts w:hint="default"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中标央企按照项目推进要求完成本项目建设工作；</w:t>
      </w:r>
    </w:p>
    <w:p>
      <w:pPr>
        <w:pStyle w:val="2"/>
        <w:numPr>
          <w:ilvl w:val="0"/>
          <w:numId w:val="2"/>
        </w:numPr>
        <w:rPr>
          <w:rFonts w:hint="default"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项目公司管理运营本项目；</w:t>
      </w:r>
    </w:p>
    <w:p>
      <w:pPr>
        <w:pStyle w:val="2"/>
        <w:numPr>
          <w:ilvl w:val="0"/>
          <w:numId w:val="2"/>
        </w:numPr>
        <w:rPr>
          <w:rFonts w:hint="default"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项目建设结束后，高鑫产投基金回购合伙企业持有的项目公司全部股权，合伙企业完成清算退出。</w:t>
      </w:r>
    </w:p>
    <w:p>
      <w:pPr>
        <w:pStyle w:val="2"/>
        <w:rPr>
          <w:rFonts w:hint="eastAsia" w:ascii="仿宋" w:hAnsi="仿宋" w:eastAsia="仿宋" w:cs="Times New Roman"/>
          <w:kern w:val="2"/>
          <w:sz w:val="30"/>
          <w:szCs w:val="30"/>
          <w:lang w:val="en-US" w:eastAsia="zh-CN" w:bidi="ar-SA"/>
        </w:rPr>
      </w:pPr>
    </w:p>
    <w:p>
      <w:pPr>
        <w:pStyle w:val="2"/>
        <w:rPr>
          <w:rFonts w:hint="eastAsia" w:ascii="仿宋" w:hAnsi="仿宋" w:eastAsia="仿宋" w:cs="Times New Roman"/>
          <w:kern w:val="2"/>
          <w:sz w:val="30"/>
          <w:szCs w:val="30"/>
          <w:lang w:val="en-US" w:eastAsia="zh-CN" w:bidi="ar-SA"/>
        </w:rPr>
      </w:pPr>
    </w:p>
    <w:p>
      <w:pPr>
        <w:pStyle w:val="2"/>
        <w:rPr>
          <w:rFonts w:hint="eastAsia" w:ascii="仿宋" w:hAnsi="仿宋" w:eastAsia="仿宋" w:cs="Times New Roman"/>
          <w:kern w:val="2"/>
          <w:sz w:val="30"/>
          <w:szCs w:val="30"/>
          <w:lang w:val="en-US" w:eastAsia="zh-CN" w:bidi="ar-SA"/>
        </w:rPr>
      </w:pPr>
    </w:p>
    <w:p>
      <w:pPr>
        <w:pStyle w:val="2"/>
        <w:rPr>
          <w:rFonts w:hint="eastAsia" w:ascii="仿宋" w:hAnsi="仿宋" w:eastAsia="仿宋" w:cs="Times New Roman"/>
          <w:kern w:val="2"/>
          <w:sz w:val="30"/>
          <w:szCs w:val="30"/>
          <w:lang w:val="en-US" w:eastAsia="zh-CN" w:bidi="ar-SA"/>
        </w:rPr>
      </w:pPr>
    </w:p>
    <w:p>
      <w:pPr>
        <w:pStyle w:val="2"/>
        <w:rPr>
          <w:rFonts w:hint="eastAsia" w:ascii="仿宋" w:hAnsi="仿宋" w:eastAsia="仿宋" w:cs="Times New Roman"/>
          <w:kern w:val="2"/>
          <w:sz w:val="30"/>
          <w:szCs w:val="30"/>
          <w:lang w:val="en-US" w:eastAsia="zh-CN" w:bidi="ar-SA"/>
        </w:rPr>
      </w:pPr>
    </w:p>
    <w:p>
      <w:pPr>
        <w:pStyle w:val="2"/>
        <w:rPr>
          <w:rFonts w:hint="eastAsia" w:ascii="仿宋" w:hAnsi="仿宋" w:eastAsia="仿宋" w:cs="Times New Roman"/>
          <w:kern w:val="2"/>
          <w:sz w:val="30"/>
          <w:szCs w:val="30"/>
          <w:lang w:val="en-US" w:eastAsia="zh-CN" w:bidi="ar-SA"/>
        </w:rPr>
      </w:pPr>
    </w:p>
    <w:p>
      <w:pPr>
        <w:pStyle w:val="2"/>
        <w:jc w:val="center"/>
        <w:rPr>
          <w:rFonts w:hint="default" w:ascii="仿宋" w:hAnsi="仿宋" w:eastAsia="仿宋" w:cs="Times New Roman"/>
          <w:kern w:val="2"/>
          <w:sz w:val="30"/>
          <w:szCs w:val="30"/>
          <w:lang w:val="en-US" w:eastAsia="zh-CN" w:bidi="ar-SA"/>
        </w:rPr>
      </w:pPr>
    </w:p>
    <w:p>
      <w:pPr>
        <w:pStyle w:val="2"/>
        <w:jc w:val="center"/>
        <w:rPr>
          <w:rFonts w:hint="default" w:ascii="仿宋" w:hAnsi="仿宋" w:eastAsia="仿宋" w:cs="Times New Roman"/>
          <w:kern w:val="2"/>
          <w:sz w:val="30"/>
          <w:szCs w:val="30"/>
          <w:lang w:val="en-US" w:eastAsia="zh-CN" w:bidi="ar-SA"/>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FZFangSong-Z02">
    <w:panose1 w:val="03000509000000000000"/>
    <w:charset w:val="86"/>
    <w:family w:val="auto"/>
    <w:pitch w:val="default"/>
    <w:sig w:usb0="00000001" w:usb1="080E0000" w:usb2="00000000" w:usb3="00000000" w:csb0="00040000" w:csb1="00000000"/>
  </w:font>
  <w:font w:name="FZXiaoBiaoSong-B05">
    <w:panose1 w:val="03000509000000000000"/>
    <w:charset w:val="86"/>
    <w:family w:val="auto"/>
    <w:pitch w:val="default"/>
    <w:sig w:usb0="00000001" w:usb1="080E0000" w:usb2="00000000" w:usb3="00000000" w:csb0="00040000" w:csb1="00000000"/>
  </w:font>
  <w:font w:name="FZKai-Z03">
    <w:panose1 w:val="03000509000000000000"/>
    <w:charset w:val="86"/>
    <w:family w:val="auto"/>
    <w:pitch w:val="default"/>
    <w:sig w:usb0="00000001" w:usb1="080E0000" w:usb2="00000000" w:usb3="00000000" w:csb0="00040000" w:csb1="00000000"/>
  </w:font>
  <w:font w:name="楷体_GB2312">
    <w:altName w:val="汉仪楷体简"/>
    <w:panose1 w:val="02010609030101010101"/>
    <w:charset w:val="86"/>
    <w:family w:val="modern"/>
    <w:pitch w:val="default"/>
    <w:sig w:usb0="00000000" w:usb1="00000000" w:usb2="00000010" w:usb3="00000000" w:csb0="00040000" w:csb1="00000000"/>
  </w:font>
  <w:font w:name="Arial Unicode MS">
    <w:panose1 w:val="020B0604020202020204"/>
    <w:charset w:val="80"/>
    <w:family w:val="swiss"/>
    <w:pitch w:val="default"/>
    <w:sig w:usb0="FFFFFFFF" w:usb1="E9FFFFFF" w:usb2="0000003F" w:usb3="00000000" w:csb0="603F01FF" w:csb1="FFFF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3000509000000000000"/>
    <w:charset w:val="86"/>
    <w:family w:val="auto"/>
    <w:pitch w:val="default"/>
    <w:sig w:usb0="00000001" w:usb1="080E0000" w:usb2="00000000" w:usb3="00000000" w:csb0="0004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楷体简">
    <w:panose1 w:val="02010600000101010101"/>
    <w:charset w:val="86"/>
    <w:family w:val="auto"/>
    <w:pitch w:val="default"/>
    <w:sig w:usb0="00000001" w:usb1="080E0800" w:usb2="00000002"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08D7E7"/>
    <w:multiLevelType w:val="singleLevel"/>
    <w:tmpl w:val="BF08D7E7"/>
    <w:lvl w:ilvl="0" w:tentative="0">
      <w:start w:val="1"/>
      <w:numFmt w:val="decimal"/>
      <w:suff w:val="nothing"/>
      <w:lvlText w:val="%1、"/>
      <w:lvlJc w:val="left"/>
    </w:lvl>
  </w:abstractNum>
  <w:abstractNum w:abstractNumId="1">
    <w:nsid w:val="622023DA"/>
    <w:multiLevelType w:val="multilevel"/>
    <w:tmpl w:val="622023DA"/>
    <w:lvl w:ilvl="0" w:tentative="0">
      <w:start w:val="1"/>
      <w:numFmt w:val="chineseCountingThousand"/>
      <w:suff w:val="nothing"/>
      <w:lvlText w:val="%1、"/>
      <w:lvlJc w:val="left"/>
      <w:pPr>
        <w:ind w:left="5244" w:firstLine="0"/>
      </w:pPr>
      <w:rPr>
        <w:rFonts w:hint="eastAsia"/>
        <w:color w:val="auto"/>
        <w:lang w:val="en-US"/>
      </w:rPr>
    </w:lvl>
    <w:lvl w:ilvl="1" w:tentative="0">
      <w:start w:val="1"/>
      <w:numFmt w:val="chineseCountingThousand"/>
      <w:pStyle w:val="4"/>
      <w:suff w:val="nothing"/>
      <w:lvlText w:val="（%2）"/>
      <w:lvlJc w:val="left"/>
      <w:pPr>
        <w:ind w:left="3828" w:firstLine="0"/>
      </w:pPr>
      <w:rPr>
        <w:rFonts w:hint="eastAsia"/>
      </w:rPr>
    </w:lvl>
    <w:lvl w:ilvl="2" w:tentative="0">
      <w:start w:val="1"/>
      <w:numFmt w:val="decimal"/>
      <w:suff w:val="nothing"/>
      <w:lvlText w:val="%3."/>
      <w:lvlJc w:val="left"/>
      <w:pPr>
        <w:ind w:left="709" w:firstLine="0"/>
      </w:pPr>
      <w:rPr>
        <w:rFonts w:hint="eastAsia"/>
      </w:rPr>
    </w:lvl>
    <w:lvl w:ilvl="3" w:tentative="0">
      <w:start w:val="1"/>
      <w:numFmt w:val="decimal"/>
      <w:suff w:val="nothing"/>
      <w:lvlText w:val="（%4）"/>
      <w:lvlJc w:val="left"/>
      <w:pPr>
        <w:ind w:left="2838" w:hanging="3"/>
      </w:pPr>
      <w:rPr>
        <w:rFonts w:hint="eastAsia"/>
      </w:rPr>
    </w:lvl>
    <w:lvl w:ilvl="4" w:tentative="0">
      <w:start w:val="1"/>
      <w:numFmt w:val="decimal"/>
      <w:lvlText w:val="%1.%2.%3.%4.%5"/>
      <w:lvlJc w:val="left"/>
      <w:pPr>
        <w:ind w:left="1675" w:firstLine="0"/>
      </w:pPr>
      <w:rPr>
        <w:rFonts w:hint="eastAsia"/>
      </w:rPr>
    </w:lvl>
    <w:lvl w:ilvl="5" w:tentative="0">
      <w:start w:val="1"/>
      <w:numFmt w:val="decimal"/>
      <w:lvlText w:val="%1.%2.%3.%4.%5.%6"/>
      <w:lvlJc w:val="left"/>
      <w:pPr>
        <w:ind w:left="1675" w:firstLine="0"/>
      </w:pPr>
      <w:rPr>
        <w:rFonts w:hint="eastAsia"/>
      </w:rPr>
    </w:lvl>
    <w:lvl w:ilvl="6" w:tentative="0">
      <w:start w:val="1"/>
      <w:numFmt w:val="decimal"/>
      <w:lvlText w:val="%1.%2.%3.%4.%5.%6.%7"/>
      <w:lvlJc w:val="left"/>
      <w:pPr>
        <w:ind w:left="1675" w:firstLine="0"/>
      </w:pPr>
      <w:rPr>
        <w:rFonts w:hint="eastAsia"/>
      </w:rPr>
    </w:lvl>
    <w:lvl w:ilvl="7" w:tentative="0">
      <w:start w:val="1"/>
      <w:numFmt w:val="decimal"/>
      <w:lvlText w:val="%1.%2.%3.%4.%5.%6.%7.%8"/>
      <w:lvlJc w:val="left"/>
      <w:pPr>
        <w:ind w:left="1675" w:firstLine="0"/>
      </w:pPr>
      <w:rPr>
        <w:rFonts w:hint="eastAsia"/>
      </w:rPr>
    </w:lvl>
    <w:lvl w:ilvl="8" w:tentative="0">
      <w:start w:val="1"/>
      <w:numFmt w:val="decimal"/>
      <w:lvlText w:val="%1.%2.%3.%4.%5.%6.%7.%8.%9"/>
      <w:lvlJc w:val="left"/>
      <w:pPr>
        <w:ind w:left="1675"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180465"/>
    <w:rsid w:val="22040FEA"/>
    <w:rsid w:val="3F6F79C0"/>
    <w:rsid w:val="4AF7077A"/>
    <w:rsid w:val="57E6BAC5"/>
    <w:rsid w:val="67E978BF"/>
    <w:rsid w:val="FE62A306"/>
    <w:rsid w:val="FFFBE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9"/>
    <w:qFormat/>
    <w:uiPriority w:val="9"/>
    <w:pPr>
      <w:keepNext/>
      <w:keepLines/>
      <w:numPr>
        <w:ilvl w:val="1"/>
        <w:numId w:val="1"/>
      </w:numPr>
      <w:spacing w:before="260" w:after="260"/>
      <w:ind w:firstLineChars="0"/>
      <w:outlineLvl w:val="1"/>
    </w:pPr>
    <w:rPr>
      <w:rFonts w:eastAsia="楷体_GB2312" w:cs="Times New Roman"/>
      <w:b/>
      <w:bCs/>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ind w:left="120"/>
      <w:jc w:val="left"/>
    </w:pPr>
    <w:rPr>
      <w:rFonts w:ascii="Arial Unicode MS" w:hAnsi="Arial Unicode MS" w:cs="Arial Unicode MS"/>
      <w:kern w:val="0"/>
      <w:sz w:val="32"/>
      <w:szCs w:val="32"/>
      <w:lang w:eastAsia="en-US"/>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customStyle="1" w:styleId="9">
    <w:name w:val="标题 2 Char"/>
    <w:link w:val="4"/>
    <w:qFormat/>
    <w:uiPriority w:val="9"/>
    <w:rPr>
      <w:rFonts w:eastAsia="楷体_GB2312" w:cs="Times New Roman"/>
      <w:b/>
      <w:bCs/>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772</Words>
  <Characters>807</Characters>
  <Lines>0</Lines>
  <Paragraphs>0</Paragraphs>
  <TotalTime>5</TotalTime>
  <ScaleCrop>false</ScaleCrop>
  <LinksUpToDate>false</LinksUpToDate>
  <CharactersWithSpaces>807</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2025-06-20T11:47:00Z</dcterms:created>
  <dc:creator>44588</dc:creator>
  <cp:lastModifiedBy>李志超</cp:lastModifiedBy>
  <dcterms:modified xsi:type="dcterms:W3CDTF">2025-06-20T10:44:30Z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KSOTemplateDocerSaveRecord">
    <vt:lpwstr>eyJoZGlkIjoiMzEwNTM5NzYwMDRjMzkwZTVkZjY2ODkwMGIxNGU0OTUiLCJ1c2VySWQiOiI1MTgwNTE3MDUifQ==</vt:lpwstr>
  </property>
  <property fmtid="{D5CDD505-2E9C-101B-9397-08002B2CF9AE}" pid="4" name="ICV">
    <vt:lpwstr>9DC16EBF777140C8AD040A3C33D844E1_13</vt:lpwstr>
  </property>
</Properties>
</file>