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715924">
      <w:pPr>
        <w:pStyle w:val="2"/>
        <w:spacing w:line="276" w:lineRule="auto"/>
        <w:jc w:val="center"/>
        <w:rPr>
          <w:rFonts w:hint="default" w:ascii="宋体" w:hAnsi="宋体" w:eastAsia="宋体"/>
          <w:sz w:val="32"/>
          <w:szCs w:val="28"/>
          <w:lang w:val="en-US" w:eastAsia="zh-CN"/>
        </w:rPr>
      </w:pPr>
      <w:r>
        <w:rPr>
          <w:rFonts w:hint="eastAsia" w:ascii="宋体" w:hAnsi="宋体"/>
          <w:sz w:val="32"/>
          <w:szCs w:val="28"/>
          <w:lang w:val="en-US" w:eastAsia="zh-CN"/>
        </w:rPr>
        <w:t>桃园三坊</w:t>
      </w:r>
      <w:r>
        <w:rPr>
          <w:rFonts w:ascii="宋体" w:hAnsi="宋体"/>
          <w:sz w:val="32"/>
          <w:szCs w:val="28"/>
        </w:rPr>
        <w:t>项目情况</w:t>
      </w:r>
      <w:r>
        <w:rPr>
          <w:rFonts w:hint="eastAsia" w:ascii="宋体" w:hAnsi="宋体"/>
          <w:sz w:val="32"/>
          <w:szCs w:val="28"/>
          <w:lang w:val="en-US" w:eastAsia="zh-CN"/>
        </w:rPr>
        <w:t>及经济测算</w:t>
      </w:r>
      <w:bookmarkStart w:id="0" w:name="_GoBack"/>
      <w:bookmarkEnd w:id="0"/>
    </w:p>
    <w:p w14:paraId="21DAF561">
      <w:pPr>
        <w:ind w:firstLine="402" w:firstLineChars="200"/>
        <w:rPr>
          <w:rFonts w:hint="eastAsia" w:ascii="宋体" w:hAnsi="宋体"/>
          <w:b/>
          <w:color w:val="000000"/>
          <w:sz w:val="20"/>
          <w:szCs w:val="20"/>
        </w:rPr>
      </w:pPr>
      <w:r>
        <w:rPr>
          <w:rFonts w:hint="eastAsia" w:ascii="宋体" w:hAnsi="宋体"/>
          <w:b/>
          <w:color w:val="000000"/>
          <w:sz w:val="20"/>
          <w:szCs w:val="20"/>
          <w:lang w:val="en-US" w:eastAsia="zh-CN"/>
        </w:rPr>
        <w:t>桃园三坊</w:t>
      </w:r>
      <w:r>
        <w:rPr>
          <w:rFonts w:hint="eastAsia" w:ascii="宋体" w:hAnsi="宋体"/>
          <w:b/>
          <w:color w:val="000000"/>
          <w:sz w:val="20"/>
          <w:szCs w:val="20"/>
        </w:rPr>
        <w:t>项目：</w:t>
      </w:r>
    </w:p>
    <w:p w14:paraId="7C7B3ABE">
      <w:pPr>
        <w:pStyle w:val="5"/>
        <w:ind w:left="0" w:leftChars="0" w:firstLine="400" w:firstLineChars="200"/>
        <w:rPr>
          <w:rFonts w:hint="default" w:ascii="宋体" w:hAnsi="宋体" w:eastAsia="宋体" w:cs="宋体"/>
          <w:b w:val="0"/>
          <w:bCs w:val="0"/>
          <w:kern w:val="0"/>
          <w:sz w:val="20"/>
          <w:szCs w:val="20"/>
          <w:lang w:val="en-US" w:eastAsia="zh-CN" w:bidi="ar-SA"/>
        </w:rPr>
      </w:pPr>
      <w:r>
        <w:rPr>
          <w:rFonts w:hint="eastAsia" w:ascii="宋体" w:hAnsi="宋体" w:eastAsia="宋体" w:cs="宋体"/>
          <w:b w:val="0"/>
          <w:bCs w:val="0"/>
          <w:kern w:val="0"/>
          <w:sz w:val="20"/>
          <w:szCs w:val="20"/>
          <w:lang w:val="en-US" w:eastAsia="zh-CN" w:bidi="ar-SA"/>
        </w:rPr>
        <w:t>（1）项目类型及概况</w:t>
      </w:r>
    </w:p>
    <w:p w14:paraId="352B5F14">
      <w:pPr>
        <w:pStyle w:val="5"/>
        <w:numPr>
          <w:ilvl w:val="0"/>
          <w:numId w:val="0"/>
        </w:numPr>
        <w:ind w:firstLine="402" w:firstLineChars="200"/>
        <w:rPr>
          <w:rFonts w:hint="default" w:ascii="宋体" w:hAnsi="宋体" w:eastAsia="宋体" w:cs="宋体"/>
          <w:b w:val="0"/>
          <w:bCs w:val="0"/>
          <w:kern w:val="0"/>
          <w:sz w:val="20"/>
          <w:szCs w:val="20"/>
          <w:lang w:val="en-US" w:eastAsia="zh-CN" w:bidi="ar-SA"/>
        </w:rPr>
      </w:pPr>
      <w:r>
        <w:rPr>
          <w:rFonts w:hint="eastAsia" w:ascii="宋体" w:hAnsi="宋体" w:eastAsia="宋体" w:cs="宋体"/>
          <w:b/>
          <w:bCs/>
          <w:kern w:val="0"/>
          <w:sz w:val="20"/>
          <w:szCs w:val="20"/>
          <w:lang w:val="en-US" w:eastAsia="zh-CN" w:bidi="ar-SA"/>
        </w:rPr>
        <w:t>项目类型：</w:t>
      </w:r>
      <w:r>
        <w:rPr>
          <w:rFonts w:hint="eastAsia" w:ascii="宋体" w:hAnsi="宋体" w:eastAsia="宋体" w:cs="宋体"/>
          <w:b w:val="0"/>
          <w:bCs w:val="0"/>
          <w:kern w:val="0"/>
          <w:sz w:val="20"/>
          <w:szCs w:val="20"/>
          <w:lang w:val="en-US" w:eastAsia="zh-CN" w:bidi="ar-SA"/>
        </w:rPr>
        <w:t>根据2018年10月27日上午上官吉庆同志召开的城中村（棚户区）改造工作领导小组会议（第1次）会议纪要内容显示，桃园三坊项目为西安市82个遗留项目之一。土地供应方式、出让土地出让金标准、规划指标及后续手续办理程序，仍按照我市原有改造政策执行。</w:t>
      </w:r>
    </w:p>
    <w:p w14:paraId="27F642B5">
      <w:pPr>
        <w:pStyle w:val="5"/>
        <w:numPr>
          <w:ilvl w:val="0"/>
          <w:numId w:val="0"/>
        </w:numPr>
        <w:ind w:firstLine="402" w:firstLineChars="200"/>
        <w:rPr>
          <w:rFonts w:hint="eastAsia" w:ascii="宋体" w:hAnsi="宋体" w:eastAsia="宋体" w:cs="宋体"/>
          <w:b w:val="0"/>
          <w:bCs w:val="0"/>
          <w:kern w:val="0"/>
          <w:sz w:val="20"/>
          <w:szCs w:val="20"/>
          <w:lang w:val="en-US" w:eastAsia="zh-CN" w:bidi="ar-SA"/>
        </w:rPr>
      </w:pPr>
      <w:r>
        <w:rPr>
          <w:rFonts w:hint="eastAsia" w:ascii="宋体" w:hAnsi="宋体" w:eastAsia="宋体" w:cs="宋体"/>
          <w:b/>
          <w:bCs/>
          <w:kern w:val="0"/>
          <w:sz w:val="20"/>
          <w:szCs w:val="20"/>
          <w:lang w:val="en-US" w:eastAsia="zh-CN" w:bidi="ar-SA"/>
        </w:rPr>
        <w:t>基本情况：</w:t>
      </w:r>
      <w:r>
        <w:rPr>
          <w:rFonts w:hint="eastAsia" w:ascii="宋体" w:hAnsi="宋体" w:eastAsia="宋体" w:cs="宋体"/>
          <w:b w:val="0"/>
          <w:bCs w:val="0"/>
          <w:kern w:val="0"/>
          <w:sz w:val="20"/>
          <w:szCs w:val="20"/>
          <w:lang w:val="en-US" w:eastAsia="zh-CN" w:bidi="ar-SA"/>
        </w:rPr>
        <w:t>桃园三坊棚户区改造项目位于桃园路与团结东路十字西北角，属于莲湖区桃园街道办事处管辖范围。该项目位于桃园路与团结东路十字西北角，周边西二环、大庆路、桃园路等城市主干道遍布，交通极其便利；项目所在地块西邻西电集团医院，周边分布有莲湖区行知小学、西安市西电中学等知名学校，公共配套设施齐备；项目区居住氛围浓厚，区域发展前景良好。</w:t>
      </w:r>
    </w:p>
    <w:p w14:paraId="2CFF47FB">
      <w:pPr>
        <w:pStyle w:val="5"/>
        <w:numPr>
          <w:ilvl w:val="0"/>
          <w:numId w:val="0"/>
        </w:numPr>
        <w:ind w:firstLine="400" w:firstLineChars="200"/>
        <w:rPr>
          <w:rFonts w:hint="eastAsia" w:ascii="宋体" w:hAnsi="宋体" w:eastAsia="宋体" w:cs="宋体"/>
          <w:kern w:val="0"/>
          <w:sz w:val="20"/>
          <w:szCs w:val="20"/>
          <w:lang w:val="en-US" w:eastAsia="zh-CN"/>
        </w:rPr>
      </w:pPr>
      <w:r>
        <w:rPr>
          <w:rFonts w:hint="eastAsia" w:ascii="宋体" w:hAnsi="宋体" w:eastAsia="宋体" w:cs="宋体"/>
          <w:kern w:val="0"/>
          <w:sz w:val="20"/>
          <w:szCs w:val="20"/>
        </w:rPr>
        <w:t>项目</w:t>
      </w:r>
      <w:r>
        <w:rPr>
          <w:rFonts w:hint="eastAsia" w:ascii="宋体" w:hAnsi="宋体" w:eastAsia="宋体" w:cs="宋体"/>
          <w:kern w:val="0"/>
          <w:sz w:val="20"/>
          <w:szCs w:val="20"/>
          <w:lang w:val="en-US" w:eastAsia="zh-CN"/>
        </w:rPr>
        <w:t>净用地面积为</w:t>
      </w:r>
      <w:r>
        <w:rPr>
          <w:rFonts w:hint="eastAsia" w:ascii="宋体" w:hAnsi="宋体" w:cs="宋体"/>
          <w:kern w:val="0"/>
          <w:sz w:val="20"/>
          <w:szCs w:val="20"/>
          <w:lang w:val="en-US" w:eastAsia="zh-CN"/>
        </w:rPr>
        <w:t>108.95</w:t>
      </w:r>
      <w:r>
        <w:rPr>
          <w:rFonts w:hint="eastAsia" w:ascii="宋体" w:hAnsi="宋体" w:eastAsia="宋体" w:cs="宋体"/>
          <w:kern w:val="0"/>
          <w:sz w:val="20"/>
          <w:szCs w:val="20"/>
        </w:rPr>
        <w:t>亩（具体以实测成果表为准），涉及居民</w:t>
      </w:r>
      <w:r>
        <w:rPr>
          <w:rFonts w:hint="eastAsia" w:ascii="宋体" w:hAnsi="宋体" w:eastAsia="宋体" w:cs="宋体"/>
          <w:kern w:val="0"/>
          <w:sz w:val="20"/>
          <w:szCs w:val="20"/>
          <w:lang w:val="en-US" w:eastAsia="zh-CN"/>
        </w:rPr>
        <w:t>2269</w:t>
      </w:r>
      <w:r>
        <w:rPr>
          <w:rFonts w:hint="eastAsia" w:ascii="宋体" w:hAnsi="宋体" w:eastAsia="宋体" w:cs="宋体"/>
          <w:kern w:val="0"/>
          <w:sz w:val="20"/>
          <w:szCs w:val="20"/>
        </w:rPr>
        <w:t>户、</w:t>
      </w:r>
      <w:r>
        <w:rPr>
          <w:rFonts w:hint="eastAsia" w:ascii="宋体" w:hAnsi="宋体" w:eastAsia="宋体" w:cs="宋体"/>
          <w:kern w:val="0"/>
          <w:sz w:val="20"/>
          <w:szCs w:val="20"/>
          <w:lang w:val="en-US" w:eastAsia="zh-CN"/>
        </w:rPr>
        <w:t>6858</w:t>
      </w:r>
      <w:r>
        <w:rPr>
          <w:rFonts w:hint="eastAsia" w:ascii="宋体" w:hAnsi="宋体" w:eastAsia="宋体" w:cs="宋体"/>
          <w:kern w:val="0"/>
          <w:sz w:val="20"/>
          <w:szCs w:val="20"/>
        </w:rPr>
        <w:t>人</w:t>
      </w:r>
      <w:r>
        <w:rPr>
          <w:rFonts w:hint="eastAsia" w:ascii="宋体" w:hAnsi="宋体" w:eastAsia="宋体" w:cs="宋体"/>
          <w:kern w:val="0"/>
          <w:sz w:val="20"/>
          <w:szCs w:val="20"/>
          <w:lang w:eastAsia="zh-CN"/>
        </w:rPr>
        <w:t>、</w:t>
      </w:r>
      <w:r>
        <w:rPr>
          <w:rFonts w:hint="eastAsia" w:ascii="宋体" w:hAnsi="宋体" w:eastAsia="宋体" w:cs="宋体"/>
          <w:kern w:val="0"/>
          <w:sz w:val="20"/>
          <w:szCs w:val="20"/>
          <w:lang w:val="en-US" w:eastAsia="zh-CN"/>
        </w:rPr>
        <w:t>企事业单位8户</w:t>
      </w:r>
      <w:r>
        <w:rPr>
          <w:rFonts w:hint="eastAsia" w:ascii="宋体" w:hAnsi="宋体" w:eastAsia="宋体" w:cs="宋体"/>
          <w:kern w:val="0"/>
          <w:sz w:val="20"/>
          <w:szCs w:val="20"/>
        </w:rPr>
        <w:t>，</w:t>
      </w:r>
      <w:r>
        <w:rPr>
          <w:rFonts w:hint="eastAsia" w:ascii="宋体" w:hAnsi="宋体" w:eastAsia="宋体" w:cs="宋体"/>
          <w:kern w:val="0"/>
          <w:sz w:val="20"/>
          <w:szCs w:val="20"/>
          <w:lang w:val="en-US" w:eastAsia="zh-CN"/>
        </w:rPr>
        <w:t>拟征收</w:t>
      </w:r>
      <w:r>
        <w:rPr>
          <w:rFonts w:hint="eastAsia" w:ascii="宋体" w:hAnsi="宋体" w:eastAsia="宋体" w:cs="宋体"/>
          <w:kern w:val="0"/>
          <w:sz w:val="20"/>
          <w:szCs w:val="20"/>
        </w:rPr>
        <w:t>房屋面积1</w:t>
      </w:r>
      <w:r>
        <w:rPr>
          <w:rFonts w:hint="eastAsia" w:ascii="宋体" w:hAnsi="宋体" w:eastAsia="宋体" w:cs="宋体"/>
          <w:kern w:val="0"/>
          <w:sz w:val="20"/>
          <w:szCs w:val="20"/>
          <w:lang w:val="en-US" w:eastAsia="zh-CN"/>
        </w:rPr>
        <w:t>4</w:t>
      </w:r>
      <w:r>
        <w:rPr>
          <w:rFonts w:hint="eastAsia" w:ascii="宋体" w:hAnsi="宋体" w:eastAsia="宋体" w:cs="宋体"/>
          <w:kern w:val="0"/>
          <w:sz w:val="20"/>
          <w:szCs w:val="20"/>
        </w:rPr>
        <w:t>.</w:t>
      </w:r>
      <w:r>
        <w:rPr>
          <w:rFonts w:hint="eastAsia" w:ascii="宋体" w:hAnsi="宋体" w:eastAsia="宋体" w:cs="宋体"/>
          <w:kern w:val="0"/>
          <w:sz w:val="20"/>
          <w:szCs w:val="20"/>
          <w:lang w:val="en-US" w:eastAsia="zh-CN"/>
        </w:rPr>
        <w:t>1</w:t>
      </w:r>
      <w:r>
        <w:rPr>
          <w:rFonts w:hint="eastAsia" w:ascii="宋体" w:hAnsi="宋体" w:eastAsia="宋体" w:cs="宋体"/>
          <w:kern w:val="0"/>
          <w:sz w:val="20"/>
          <w:szCs w:val="20"/>
        </w:rPr>
        <w:t>万平方米。规划</w:t>
      </w:r>
      <w:r>
        <w:rPr>
          <w:rFonts w:hint="eastAsia" w:ascii="宋体" w:hAnsi="宋体" w:eastAsia="宋体" w:cs="宋体"/>
          <w:kern w:val="0"/>
          <w:sz w:val="20"/>
          <w:szCs w:val="20"/>
          <w:lang w:val="en-US" w:eastAsia="zh-CN"/>
        </w:rPr>
        <w:t>地上</w:t>
      </w:r>
      <w:r>
        <w:rPr>
          <w:rFonts w:hint="eastAsia" w:ascii="宋体" w:hAnsi="宋体" w:eastAsia="宋体" w:cs="宋体"/>
          <w:kern w:val="0"/>
          <w:sz w:val="20"/>
          <w:szCs w:val="20"/>
        </w:rPr>
        <w:t>总建筑面积</w:t>
      </w:r>
      <w:r>
        <w:rPr>
          <w:rFonts w:hint="eastAsia" w:ascii="宋体" w:hAnsi="宋体" w:eastAsia="宋体" w:cs="宋体"/>
          <w:kern w:val="0"/>
          <w:sz w:val="20"/>
          <w:szCs w:val="20"/>
          <w:lang w:val="en-US" w:eastAsia="zh-CN"/>
        </w:rPr>
        <w:t>22.08万</w:t>
      </w:r>
      <w:r>
        <w:rPr>
          <w:rFonts w:hint="eastAsia" w:ascii="宋体" w:hAnsi="宋体" w:eastAsia="宋体" w:cs="宋体"/>
          <w:kern w:val="0"/>
          <w:sz w:val="20"/>
          <w:szCs w:val="20"/>
        </w:rPr>
        <w:t>平方米，综合容积率3.30，总建筑密度24.6%，绿地率34.5%。</w:t>
      </w:r>
      <w:r>
        <w:rPr>
          <w:rFonts w:hint="eastAsia" w:ascii="宋体" w:hAnsi="宋体" w:eastAsia="宋体" w:cs="宋体"/>
          <w:kern w:val="0"/>
          <w:sz w:val="20"/>
          <w:szCs w:val="20"/>
          <w:lang w:val="en-US" w:eastAsia="zh-CN"/>
        </w:rPr>
        <w:t>截止202</w:t>
      </w:r>
      <w:r>
        <w:rPr>
          <w:rFonts w:hint="eastAsia" w:ascii="宋体" w:hAnsi="宋体" w:cs="宋体"/>
          <w:kern w:val="0"/>
          <w:sz w:val="20"/>
          <w:szCs w:val="20"/>
          <w:lang w:val="en-US" w:eastAsia="zh-CN"/>
        </w:rPr>
        <w:t>6</w:t>
      </w:r>
      <w:r>
        <w:rPr>
          <w:rFonts w:hint="eastAsia" w:ascii="宋体" w:hAnsi="宋体" w:eastAsia="宋体" w:cs="宋体"/>
          <w:kern w:val="0"/>
          <w:sz w:val="20"/>
          <w:szCs w:val="20"/>
          <w:lang w:val="en-US" w:eastAsia="zh-CN"/>
        </w:rPr>
        <w:t>年</w:t>
      </w:r>
      <w:r>
        <w:rPr>
          <w:rFonts w:hint="eastAsia" w:ascii="宋体" w:hAnsi="宋体" w:cs="宋体"/>
          <w:kern w:val="0"/>
          <w:sz w:val="20"/>
          <w:szCs w:val="20"/>
          <w:lang w:val="en-US" w:eastAsia="zh-CN"/>
        </w:rPr>
        <w:t>3</w:t>
      </w:r>
      <w:r>
        <w:rPr>
          <w:rFonts w:hint="eastAsia" w:ascii="宋体" w:hAnsi="宋体" w:eastAsia="宋体" w:cs="宋体"/>
          <w:kern w:val="0"/>
          <w:sz w:val="20"/>
          <w:szCs w:val="20"/>
          <w:lang w:val="en-US" w:eastAsia="zh-CN"/>
        </w:rPr>
        <w:t>月底已完成房屋征收9</w:t>
      </w:r>
      <w:r>
        <w:rPr>
          <w:rFonts w:hint="eastAsia" w:ascii="宋体" w:hAnsi="宋体" w:cs="宋体"/>
          <w:kern w:val="0"/>
          <w:sz w:val="20"/>
          <w:szCs w:val="20"/>
          <w:lang w:val="en-US" w:eastAsia="zh-CN"/>
        </w:rPr>
        <w:t>9</w:t>
      </w:r>
      <w:r>
        <w:rPr>
          <w:rFonts w:hint="eastAsia" w:ascii="宋体" w:hAnsi="宋体" w:eastAsia="宋体" w:cs="宋体"/>
          <w:kern w:val="0"/>
          <w:sz w:val="20"/>
          <w:szCs w:val="20"/>
          <w:lang w:val="en-US" w:eastAsia="zh-CN"/>
        </w:rPr>
        <w:t>%，旧楼拆除比例达到80%，房屋拆除达到90%。</w:t>
      </w:r>
      <w:r>
        <w:rPr>
          <w:rFonts w:hint="eastAsia" w:ascii="宋体" w:hAnsi="宋体" w:cs="宋体"/>
          <w:kern w:val="0"/>
          <w:sz w:val="20"/>
          <w:szCs w:val="20"/>
          <w:lang w:val="en-US" w:eastAsia="zh-CN"/>
        </w:rPr>
        <w:t>安置楼共计5栋，其中</w:t>
      </w:r>
      <w:r>
        <w:rPr>
          <w:rFonts w:hint="eastAsia" w:ascii="宋体" w:hAnsi="宋体" w:eastAsia="宋体" w:cs="宋体"/>
          <w:kern w:val="0"/>
          <w:sz w:val="20"/>
          <w:szCs w:val="20"/>
          <w:lang w:val="en-US" w:eastAsia="zh-CN"/>
        </w:rPr>
        <w:t>安置西区</w:t>
      </w:r>
      <w:r>
        <w:rPr>
          <w:rFonts w:hint="eastAsia" w:ascii="宋体" w:hAnsi="宋体" w:cs="宋体"/>
          <w:kern w:val="0"/>
          <w:sz w:val="20"/>
          <w:szCs w:val="20"/>
          <w:lang w:val="en-US" w:eastAsia="zh-CN"/>
        </w:rPr>
        <w:t>（27.498亩）</w:t>
      </w:r>
      <w:r>
        <w:rPr>
          <w:rFonts w:hint="eastAsia" w:ascii="宋体" w:hAnsi="宋体" w:eastAsia="宋体" w:cs="宋体"/>
          <w:kern w:val="0"/>
          <w:sz w:val="20"/>
          <w:szCs w:val="20"/>
          <w:lang w:val="en-US" w:eastAsia="zh-CN"/>
        </w:rPr>
        <w:t>共计4栋安置楼，</w:t>
      </w:r>
      <w:r>
        <w:rPr>
          <w:rFonts w:hint="eastAsia" w:ascii="宋体" w:hAnsi="宋体" w:cs="宋体"/>
          <w:kern w:val="0"/>
          <w:sz w:val="20"/>
          <w:szCs w:val="20"/>
          <w:lang w:val="en-US" w:eastAsia="zh-CN"/>
        </w:rPr>
        <w:t>全部主体</w:t>
      </w:r>
      <w:r>
        <w:rPr>
          <w:rFonts w:hint="eastAsia" w:ascii="宋体" w:hAnsi="宋体" w:eastAsia="宋体" w:cs="宋体"/>
          <w:kern w:val="0"/>
          <w:sz w:val="20"/>
          <w:szCs w:val="20"/>
          <w:lang w:val="en-US" w:eastAsia="zh-CN"/>
        </w:rPr>
        <w:t>封顶，</w:t>
      </w:r>
      <w:r>
        <w:rPr>
          <w:rFonts w:hint="eastAsia" w:ascii="宋体" w:hAnsi="宋体" w:cs="宋体"/>
          <w:kern w:val="0"/>
          <w:sz w:val="20"/>
          <w:szCs w:val="20"/>
          <w:lang w:val="en-US" w:eastAsia="zh-CN"/>
        </w:rPr>
        <w:t>目前二次结构施工中</w:t>
      </w:r>
      <w:r>
        <w:rPr>
          <w:rFonts w:hint="eastAsia" w:ascii="宋体" w:hAnsi="宋体" w:eastAsia="宋体" w:cs="宋体"/>
          <w:kern w:val="0"/>
          <w:sz w:val="20"/>
          <w:szCs w:val="20"/>
          <w:lang w:val="en-US" w:eastAsia="zh-CN"/>
        </w:rPr>
        <w:t>，计划于2026年</w:t>
      </w:r>
      <w:r>
        <w:rPr>
          <w:rFonts w:hint="eastAsia" w:ascii="宋体" w:hAnsi="宋体" w:cs="宋体"/>
          <w:kern w:val="0"/>
          <w:sz w:val="20"/>
          <w:szCs w:val="20"/>
          <w:lang w:val="en-US" w:eastAsia="zh-CN"/>
        </w:rPr>
        <w:t>6</w:t>
      </w:r>
      <w:r>
        <w:rPr>
          <w:rFonts w:hint="eastAsia" w:ascii="宋体" w:hAnsi="宋体" w:eastAsia="宋体" w:cs="宋体"/>
          <w:kern w:val="0"/>
          <w:sz w:val="20"/>
          <w:szCs w:val="20"/>
          <w:lang w:val="en-US" w:eastAsia="zh-CN"/>
        </w:rPr>
        <w:t>月完成交付回迁</w:t>
      </w:r>
      <w:r>
        <w:rPr>
          <w:rFonts w:hint="eastAsia" w:ascii="宋体" w:hAnsi="宋体" w:cs="宋体"/>
          <w:kern w:val="0"/>
          <w:sz w:val="20"/>
          <w:szCs w:val="20"/>
          <w:lang w:val="en-US" w:eastAsia="zh-CN"/>
        </w:rPr>
        <w:t>交付；安置东区（10.122亩）共计1栋安置楼，目前主体施工中</w:t>
      </w:r>
      <w:r>
        <w:rPr>
          <w:rFonts w:hint="eastAsia" w:ascii="宋体" w:hAnsi="宋体" w:eastAsia="宋体" w:cs="宋体"/>
          <w:kern w:val="0"/>
          <w:sz w:val="20"/>
          <w:szCs w:val="20"/>
          <w:lang w:val="en-US" w:eastAsia="zh-CN"/>
        </w:rPr>
        <w:t>。</w:t>
      </w:r>
    </w:p>
    <w:p w14:paraId="5468F382">
      <w:pPr>
        <w:pStyle w:val="5"/>
        <w:numPr>
          <w:ilvl w:val="0"/>
          <w:numId w:val="0"/>
        </w:numPr>
        <w:ind w:firstLine="400" w:firstLineChars="200"/>
        <w:rPr>
          <w:rFonts w:hint="default"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开发地块</w:t>
      </w:r>
      <w:r>
        <w:rPr>
          <w:rFonts w:hint="eastAsia" w:ascii="宋体" w:hAnsi="宋体" w:cs="宋体"/>
          <w:kern w:val="0"/>
          <w:sz w:val="20"/>
          <w:szCs w:val="20"/>
          <w:lang w:val="en-US" w:eastAsia="zh-CN"/>
        </w:rPr>
        <w:t>一期30.613亩，已于2026年1月30日完成出让，并签订《成交确认书》和《土地出让合同》</w:t>
      </w:r>
      <w:r>
        <w:rPr>
          <w:rFonts w:hint="eastAsia" w:ascii="宋体" w:hAnsi="宋体" w:eastAsia="宋体" w:cs="宋体"/>
          <w:kern w:val="0"/>
          <w:sz w:val="20"/>
          <w:szCs w:val="20"/>
          <w:lang w:val="en-US" w:eastAsia="zh-CN"/>
        </w:rPr>
        <w:t>，计划202</w:t>
      </w:r>
      <w:r>
        <w:rPr>
          <w:rFonts w:hint="eastAsia" w:ascii="宋体" w:hAnsi="宋体" w:cs="宋体"/>
          <w:kern w:val="0"/>
          <w:sz w:val="20"/>
          <w:szCs w:val="20"/>
          <w:lang w:val="en-US" w:eastAsia="zh-CN"/>
        </w:rPr>
        <w:t>6</w:t>
      </w:r>
      <w:r>
        <w:rPr>
          <w:rFonts w:hint="eastAsia" w:ascii="宋体" w:hAnsi="宋体" w:eastAsia="宋体" w:cs="宋体"/>
          <w:kern w:val="0"/>
          <w:sz w:val="20"/>
          <w:szCs w:val="20"/>
          <w:lang w:val="en-US" w:eastAsia="zh-CN"/>
        </w:rPr>
        <w:t>年</w:t>
      </w:r>
      <w:r>
        <w:rPr>
          <w:rFonts w:hint="eastAsia" w:ascii="宋体" w:hAnsi="宋体" w:cs="宋体"/>
          <w:kern w:val="0"/>
          <w:sz w:val="20"/>
          <w:szCs w:val="20"/>
          <w:lang w:val="en-US" w:eastAsia="zh-CN"/>
        </w:rPr>
        <w:t>10</w:t>
      </w:r>
      <w:r>
        <w:rPr>
          <w:rFonts w:hint="eastAsia" w:ascii="宋体" w:hAnsi="宋体" w:eastAsia="宋体" w:cs="宋体"/>
          <w:kern w:val="0"/>
          <w:sz w:val="20"/>
          <w:szCs w:val="20"/>
          <w:lang w:val="en-US" w:eastAsia="zh-CN"/>
        </w:rPr>
        <w:t>月开工建设</w:t>
      </w:r>
      <w:r>
        <w:rPr>
          <w:rFonts w:hint="eastAsia" w:ascii="宋体" w:hAnsi="宋体" w:cs="宋体"/>
          <w:kern w:val="0"/>
          <w:sz w:val="20"/>
          <w:szCs w:val="20"/>
          <w:lang w:val="en-US" w:eastAsia="zh-CN"/>
        </w:rPr>
        <w:t>并销售</w:t>
      </w:r>
      <w:r>
        <w:rPr>
          <w:rFonts w:hint="eastAsia" w:ascii="宋体" w:hAnsi="宋体" w:eastAsia="宋体" w:cs="宋体"/>
          <w:kern w:val="0"/>
          <w:sz w:val="20"/>
          <w:szCs w:val="20"/>
          <w:lang w:val="en-US" w:eastAsia="zh-CN"/>
        </w:rPr>
        <w:t>。区位示意图如下：</w:t>
      </w:r>
    </w:p>
    <w:p w14:paraId="66DB6B71">
      <w:pPr>
        <w:pStyle w:val="5"/>
        <w:ind w:left="0" w:leftChars="0" w:firstLine="0" w:firstLineChars="0"/>
        <w:rPr>
          <w:rFonts w:hint="eastAsia" w:ascii="宋体" w:hAnsi="宋体" w:eastAsia="宋体" w:cs="宋体"/>
          <w:b w:val="0"/>
          <w:bCs w:val="0"/>
          <w:kern w:val="0"/>
          <w:sz w:val="20"/>
          <w:szCs w:val="20"/>
          <w:lang w:val="en-US" w:eastAsia="zh-CN" w:bidi="ar-SA"/>
        </w:rPr>
      </w:pPr>
      <w:r>
        <w:drawing>
          <wp:inline distT="0" distB="0" distL="114300" distR="114300">
            <wp:extent cx="5274310" cy="3745230"/>
            <wp:effectExtent l="0" t="0" r="2540" b="762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74310" cy="3745230"/>
                    </a:xfrm>
                    <a:prstGeom prst="rect">
                      <a:avLst/>
                    </a:prstGeom>
                    <a:noFill/>
                    <a:ln>
                      <a:noFill/>
                    </a:ln>
                  </pic:spPr>
                </pic:pic>
              </a:graphicData>
            </a:graphic>
          </wp:inline>
        </w:drawing>
      </w:r>
    </w:p>
    <w:p w14:paraId="31C9C701">
      <w:pPr>
        <w:pStyle w:val="5"/>
        <w:numPr>
          <w:ilvl w:val="0"/>
          <w:numId w:val="0"/>
        </w:numPr>
        <w:ind w:firstLine="400" w:firstLineChars="200"/>
        <w:rPr>
          <w:rFonts w:hint="eastAsia" w:ascii="宋体" w:hAnsi="宋体" w:eastAsia="宋体" w:cs="宋体"/>
          <w:b w:val="0"/>
          <w:bCs w:val="0"/>
          <w:kern w:val="0"/>
          <w:sz w:val="20"/>
          <w:szCs w:val="20"/>
          <w:lang w:val="en-US" w:eastAsia="zh-CN" w:bidi="ar-SA"/>
        </w:rPr>
      </w:pPr>
      <w:r>
        <w:rPr>
          <w:rFonts w:hint="eastAsia" w:ascii="宋体" w:hAnsi="宋体" w:eastAsia="宋体" w:cs="宋体"/>
          <w:b w:val="0"/>
          <w:bCs w:val="0"/>
          <w:kern w:val="0"/>
          <w:sz w:val="20"/>
          <w:szCs w:val="20"/>
          <w:lang w:val="en-US" w:eastAsia="zh-CN" w:bidi="ar-SA"/>
        </w:rPr>
        <w:t>（2）项目改造方式和投资主体</w:t>
      </w:r>
    </w:p>
    <w:p w14:paraId="4AEDB00E">
      <w:pPr>
        <w:pStyle w:val="5"/>
        <w:numPr>
          <w:ilvl w:val="0"/>
          <w:numId w:val="0"/>
        </w:numPr>
        <w:ind w:firstLine="402" w:firstLineChars="200"/>
        <w:rPr>
          <w:rFonts w:hint="eastAsia" w:ascii="宋体" w:hAnsi="宋体" w:eastAsia="宋体" w:cs="宋体"/>
          <w:b w:val="0"/>
          <w:bCs w:val="0"/>
          <w:kern w:val="0"/>
          <w:sz w:val="20"/>
          <w:szCs w:val="20"/>
          <w:lang w:val="en-US" w:eastAsia="zh-CN" w:bidi="ar-SA"/>
        </w:rPr>
      </w:pPr>
      <w:r>
        <w:rPr>
          <w:rFonts w:hint="eastAsia" w:ascii="宋体" w:hAnsi="宋体" w:eastAsia="宋体" w:cs="宋体"/>
          <w:b/>
          <w:bCs/>
          <w:kern w:val="0"/>
          <w:sz w:val="20"/>
          <w:szCs w:val="20"/>
          <w:lang w:val="en-US" w:eastAsia="zh-CN" w:bidi="ar-SA"/>
        </w:rPr>
        <w:t>改造模式：</w:t>
      </w:r>
      <w:r>
        <w:rPr>
          <w:rFonts w:hint="eastAsia" w:ascii="宋体" w:hAnsi="宋体" w:eastAsia="宋体" w:cs="宋体"/>
          <w:b w:val="0"/>
          <w:bCs w:val="0"/>
          <w:kern w:val="0"/>
          <w:sz w:val="20"/>
          <w:szCs w:val="20"/>
          <w:lang w:val="en-US" w:eastAsia="zh-CN" w:bidi="ar-SA"/>
        </w:rPr>
        <w:t>该项目采用政府主导、市场运作改造项目的模式，采取民间资本投资的模式实施改造。</w:t>
      </w:r>
    </w:p>
    <w:p w14:paraId="726B819C">
      <w:pPr>
        <w:pStyle w:val="5"/>
        <w:numPr>
          <w:ilvl w:val="0"/>
          <w:numId w:val="0"/>
        </w:numPr>
        <w:ind w:firstLine="402" w:firstLineChars="200"/>
        <w:rPr>
          <w:rFonts w:hint="eastAsia" w:ascii="宋体" w:hAnsi="宋体" w:eastAsia="宋体" w:cs="宋体"/>
          <w:b w:val="0"/>
          <w:bCs w:val="0"/>
          <w:kern w:val="0"/>
          <w:sz w:val="20"/>
          <w:szCs w:val="20"/>
          <w:lang w:val="en-US" w:eastAsia="zh-CN" w:bidi="ar-SA"/>
        </w:rPr>
      </w:pPr>
      <w:r>
        <w:rPr>
          <w:rFonts w:hint="eastAsia" w:ascii="宋体" w:hAnsi="宋体" w:eastAsia="宋体" w:cs="宋体"/>
          <w:b/>
          <w:bCs/>
          <w:kern w:val="0"/>
          <w:sz w:val="20"/>
          <w:szCs w:val="20"/>
          <w:lang w:val="en-US" w:eastAsia="zh-CN" w:bidi="ar-SA"/>
        </w:rPr>
        <w:t>实施主体和投资主体：</w:t>
      </w:r>
      <w:r>
        <w:rPr>
          <w:rFonts w:hint="eastAsia" w:ascii="宋体" w:hAnsi="宋体" w:eastAsia="宋体" w:cs="宋体"/>
          <w:b w:val="0"/>
          <w:bCs w:val="0"/>
          <w:kern w:val="0"/>
          <w:sz w:val="20"/>
          <w:szCs w:val="20"/>
          <w:lang w:val="en-US" w:eastAsia="zh-CN" w:bidi="ar-SA"/>
        </w:rPr>
        <w:t>根据改造区域的实际情况，该项目的实施主体是西安土门地区综合改造管理委员会征收安置办公室。项目投资主体为陕西云圣置业有限公司。</w:t>
      </w:r>
    </w:p>
    <w:p w14:paraId="0D3DC057">
      <w:pPr>
        <w:pStyle w:val="5"/>
        <w:rPr>
          <w:rFonts w:hint="eastAsia" w:ascii="宋体" w:hAnsi="宋体" w:eastAsia="宋体" w:cs="宋体"/>
          <w:kern w:val="0"/>
          <w:sz w:val="20"/>
          <w:szCs w:val="20"/>
          <w:lang w:val="en-US" w:eastAsia="zh-CN"/>
        </w:rPr>
      </w:pPr>
      <w:r>
        <w:rPr>
          <w:rFonts w:hint="eastAsia" w:ascii="宋体" w:hAnsi="宋体"/>
          <w:sz w:val="30"/>
          <w:szCs w:val="30"/>
        </w:rPr>
        <w:drawing>
          <wp:anchor distT="0" distB="0" distL="114300" distR="114300" simplePos="0" relativeHeight="251659264" behindDoc="0" locked="0" layoutInCell="1" allowOverlap="1">
            <wp:simplePos x="0" y="0"/>
            <wp:positionH relativeFrom="column">
              <wp:posOffset>-1270</wp:posOffset>
            </wp:positionH>
            <wp:positionV relativeFrom="paragraph">
              <wp:posOffset>78740</wp:posOffset>
            </wp:positionV>
            <wp:extent cx="2508250" cy="2747010"/>
            <wp:effectExtent l="0" t="0" r="6350" b="15240"/>
            <wp:wrapNone/>
            <wp:docPr id="2" name="图片 5" descr="C:\Users\01\AppData\Local\Temp\ksohtml\wpsDA1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C:\Users\01\AppData\Local\Temp\ksohtml\wpsDA1F.tmp.png"/>
                    <pic:cNvPicPr>
                      <a:picLocks noChangeAspect="1"/>
                    </pic:cNvPicPr>
                  </pic:nvPicPr>
                  <pic:blipFill>
                    <a:blip r:embed="rId5"/>
                    <a:stretch>
                      <a:fillRect/>
                    </a:stretch>
                  </pic:blipFill>
                  <pic:spPr>
                    <a:xfrm>
                      <a:off x="0" y="0"/>
                      <a:ext cx="2508250" cy="2747010"/>
                    </a:xfrm>
                    <a:prstGeom prst="rect">
                      <a:avLst/>
                    </a:prstGeom>
                    <a:noFill/>
                    <a:ln>
                      <a:noFill/>
                    </a:ln>
                  </pic:spPr>
                </pic:pic>
              </a:graphicData>
            </a:graphic>
          </wp:anchor>
        </w:drawing>
      </w:r>
      <w:r>
        <w:rPr>
          <w:rFonts w:hint="eastAsia" w:ascii="宋体" w:hAnsi="宋体"/>
          <w:sz w:val="30"/>
          <w:szCs w:val="30"/>
        </w:rPr>
        <w:drawing>
          <wp:anchor distT="0" distB="0" distL="114300" distR="114300" simplePos="0" relativeHeight="251660288" behindDoc="0" locked="0" layoutInCell="1" allowOverlap="1">
            <wp:simplePos x="0" y="0"/>
            <wp:positionH relativeFrom="column">
              <wp:posOffset>2692400</wp:posOffset>
            </wp:positionH>
            <wp:positionV relativeFrom="paragraph">
              <wp:posOffset>91440</wp:posOffset>
            </wp:positionV>
            <wp:extent cx="2484120" cy="2776220"/>
            <wp:effectExtent l="0" t="0" r="11430" b="5080"/>
            <wp:wrapNone/>
            <wp:docPr id="11" name="图片 8" descr="C:\Users\01\AppData\Local\Temp\ksohtml\wpsDA3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C:\Users\01\AppData\Local\Temp\ksohtml\wpsDA30.tmp.png"/>
                    <pic:cNvPicPr>
                      <a:picLocks noChangeAspect="1"/>
                    </pic:cNvPicPr>
                  </pic:nvPicPr>
                  <pic:blipFill>
                    <a:blip r:embed="rId6"/>
                    <a:stretch>
                      <a:fillRect/>
                    </a:stretch>
                  </pic:blipFill>
                  <pic:spPr>
                    <a:xfrm>
                      <a:off x="0" y="0"/>
                      <a:ext cx="2484120" cy="2776220"/>
                    </a:xfrm>
                    <a:prstGeom prst="rect">
                      <a:avLst/>
                    </a:prstGeom>
                    <a:noFill/>
                    <a:ln>
                      <a:noFill/>
                    </a:ln>
                  </pic:spPr>
                </pic:pic>
              </a:graphicData>
            </a:graphic>
          </wp:anchor>
        </w:drawing>
      </w:r>
    </w:p>
    <w:p w14:paraId="13F59482">
      <w:pPr>
        <w:pStyle w:val="5"/>
        <w:rPr>
          <w:rFonts w:hint="eastAsia" w:ascii="宋体" w:hAnsi="宋体" w:eastAsia="宋体" w:cs="宋体"/>
          <w:kern w:val="0"/>
          <w:sz w:val="20"/>
          <w:szCs w:val="20"/>
          <w:lang w:val="en-US" w:eastAsia="zh-CN"/>
        </w:rPr>
      </w:pPr>
    </w:p>
    <w:p w14:paraId="3D29F5D1">
      <w:pPr>
        <w:pStyle w:val="5"/>
        <w:rPr>
          <w:rFonts w:hint="eastAsia" w:ascii="宋体" w:hAnsi="宋体" w:eastAsia="宋体" w:cs="宋体"/>
          <w:kern w:val="0"/>
          <w:sz w:val="20"/>
          <w:szCs w:val="20"/>
          <w:lang w:val="en-US" w:eastAsia="zh-CN"/>
        </w:rPr>
      </w:pPr>
    </w:p>
    <w:p w14:paraId="44563937">
      <w:pPr>
        <w:pStyle w:val="5"/>
        <w:rPr>
          <w:rFonts w:hint="eastAsia" w:ascii="宋体" w:hAnsi="宋体" w:eastAsia="宋体" w:cs="宋体"/>
          <w:kern w:val="0"/>
          <w:sz w:val="20"/>
          <w:szCs w:val="20"/>
          <w:lang w:val="en-US" w:eastAsia="zh-CN"/>
        </w:rPr>
      </w:pPr>
    </w:p>
    <w:p w14:paraId="3BFECA73">
      <w:pPr>
        <w:pStyle w:val="5"/>
        <w:rPr>
          <w:rFonts w:hint="eastAsia" w:ascii="宋体" w:hAnsi="宋体" w:eastAsia="宋体" w:cs="宋体"/>
          <w:kern w:val="0"/>
          <w:sz w:val="20"/>
          <w:szCs w:val="20"/>
          <w:lang w:val="en-US" w:eastAsia="zh-CN"/>
        </w:rPr>
      </w:pPr>
    </w:p>
    <w:p w14:paraId="0287E4BA">
      <w:pPr>
        <w:pStyle w:val="5"/>
        <w:rPr>
          <w:rFonts w:hint="eastAsia" w:ascii="宋体" w:hAnsi="宋体" w:eastAsia="宋体" w:cs="宋体"/>
          <w:kern w:val="0"/>
          <w:sz w:val="20"/>
          <w:szCs w:val="20"/>
          <w:lang w:val="en-US" w:eastAsia="zh-CN"/>
        </w:rPr>
      </w:pPr>
    </w:p>
    <w:p w14:paraId="103BE1DD">
      <w:pPr>
        <w:pStyle w:val="5"/>
        <w:rPr>
          <w:rFonts w:hint="eastAsia" w:ascii="宋体" w:hAnsi="宋体" w:eastAsia="宋体" w:cs="宋体"/>
          <w:kern w:val="0"/>
          <w:sz w:val="20"/>
          <w:szCs w:val="20"/>
          <w:lang w:val="en-US" w:eastAsia="zh-CN"/>
        </w:rPr>
      </w:pPr>
    </w:p>
    <w:p w14:paraId="371AE29F">
      <w:pPr>
        <w:pStyle w:val="5"/>
        <w:rPr>
          <w:rFonts w:hint="eastAsia" w:ascii="宋体" w:hAnsi="宋体" w:eastAsia="宋体" w:cs="宋体"/>
          <w:kern w:val="0"/>
          <w:sz w:val="20"/>
          <w:szCs w:val="20"/>
          <w:lang w:val="en-US" w:eastAsia="zh-CN"/>
        </w:rPr>
      </w:pPr>
    </w:p>
    <w:p w14:paraId="53CDA460">
      <w:pPr>
        <w:pStyle w:val="5"/>
        <w:rPr>
          <w:rFonts w:hint="eastAsia" w:ascii="宋体" w:hAnsi="宋体" w:eastAsia="宋体" w:cs="宋体"/>
          <w:kern w:val="0"/>
          <w:sz w:val="20"/>
          <w:szCs w:val="20"/>
          <w:lang w:val="en-US" w:eastAsia="zh-CN"/>
        </w:rPr>
      </w:pPr>
    </w:p>
    <w:p w14:paraId="7CD6D247">
      <w:pPr>
        <w:pStyle w:val="5"/>
        <w:rPr>
          <w:rFonts w:hint="eastAsia" w:ascii="宋体" w:hAnsi="宋体" w:eastAsia="宋体" w:cs="宋体"/>
          <w:kern w:val="0"/>
          <w:sz w:val="20"/>
          <w:szCs w:val="20"/>
          <w:lang w:val="en-US" w:eastAsia="zh-CN"/>
        </w:rPr>
      </w:pPr>
    </w:p>
    <w:p w14:paraId="1A13C94A">
      <w:pPr>
        <w:pStyle w:val="5"/>
        <w:rPr>
          <w:rFonts w:hint="eastAsia" w:ascii="宋体" w:hAnsi="宋体" w:eastAsia="宋体" w:cs="宋体"/>
          <w:kern w:val="0"/>
          <w:sz w:val="20"/>
          <w:szCs w:val="20"/>
          <w:lang w:val="en-US" w:eastAsia="zh-CN"/>
        </w:rPr>
      </w:pPr>
    </w:p>
    <w:p w14:paraId="72D9E7F5">
      <w:pPr>
        <w:pStyle w:val="5"/>
        <w:rPr>
          <w:rFonts w:hint="eastAsia" w:ascii="宋体" w:hAnsi="宋体" w:eastAsia="宋体" w:cs="宋体"/>
          <w:kern w:val="0"/>
          <w:sz w:val="20"/>
          <w:szCs w:val="20"/>
          <w:lang w:val="en-US" w:eastAsia="zh-CN"/>
        </w:rPr>
      </w:pPr>
    </w:p>
    <w:p w14:paraId="04E4F3A4">
      <w:pPr>
        <w:pStyle w:val="5"/>
        <w:numPr>
          <w:ilvl w:val="0"/>
          <w:numId w:val="0"/>
        </w:numPr>
        <w:ind w:firstLine="400" w:firstLineChars="200"/>
        <w:rPr>
          <w:rFonts w:hint="default" w:ascii="宋体" w:hAnsi="宋体" w:eastAsia="宋体" w:cs="宋体"/>
          <w:b w:val="0"/>
          <w:bCs w:val="0"/>
          <w:kern w:val="0"/>
          <w:sz w:val="20"/>
          <w:szCs w:val="20"/>
          <w:lang w:val="en-US" w:eastAsia="zh-CN" w:bidi="ar-SA"/>
        </w:rPr>
      </w:pPr>
      <w:r>
        <w:rPr>
          <w:rFonts w:hint="eastAsia" w:ascii="宋体" w:hAnsi="宋体" w:eastAsia="宋体" w:cs="宋体"/>
          <w:b w:val="0"/>
          <w:bCs w:val="0"/>
          <w:kern w:val="0"/>
          <w:sz w:val="20"/>
          <w:szCs w:val="20"/>
          <w:lang w:val="en-US" w:eastAsia="zh-CN" w:bidi="ar-SA"/>
        </w:rPr>
        <w:t>（3）后期推进情况</w:t>
      </w:r>
    </w:p>
    <w:p w14:paraId="1D2EAA22">
      <w:pPr>
        <w:pStyle w:val="5"/>
        <w:numPr>
          <w:ilvl w:val="0"/>
          <w:numId w:val="0"/>
        </w:numPr>
        <w:ind w:firstLine="400" w:firstLineChars="200"/>
        <w:rPr>
          <w:rFonts w:hint="eastAsia" w:ascii="宋体" w:hAnsi="宋体" w:eastAsia="宋体" w:cs="宋体"/>
          <w:b w:val="0"/>
          <w:bCs w:val="0"/>
          <w:kern w:val="0"/>
          <w:sz w:val="20"/>
          <w:szCs w:val="20"/>
          <w:lang w:val="en-US" w:eastAsia="zh-CN" w:bidi="ar-SA"/>
        </w:rPr>
      </w:pPr>
      <w:r>
        <w:rPr>
          <w:rFonts w:hint="eastAsia" w:ascii="宋体" w:hAnsi="宋体" w:eastAsia="宋体" w:cs="宋体"/>
          <w:b w:val="0"/>
          <w:bCs w:val="0"/>
          <w:kern w:val="0"/>
          <w:sz w:val="20"/>
          <w:szCs w:val="20"/>
          <w:lang w:val="en-US" w:eastAsia="zh-CN" w:bidi="ar-SA"/>
        </w:rPr>
        <w:t>因项目征收出现资金短缺，投资主体陕西云圣置业有限公司股东大股东雅居乐出现财务问题。加之疫情及指挥部政府人员频繁更换等原因致使项目征收工作未能完成。</w:t>
      </w:r>
    </w:p>
    <w:p w14:paraId="2782FFBD">
      <w:pPr>
        <w:pStyle w:val="5"/>
        <w:numPr>
          <w:ilvl w:val="0"/>
          <w:numId w:val="0"/>
        </w:numPr>
        <w:ind w:firstLine="400" w:firstLineChars="200"/>
        <w:rPr>
          <w:rFonts w:hint="eastAsia" w:ascii="宋体" w:hAnsi="宋体" w:eastAsia="宋体" w:cs="宋体"/>
          <w:b w:val="0"/>
          <w:bCs w:val="0"/>
          <w:kern w:val="0"/>
          <w:sz w:val="20"/>
          <w:szCs w:val="20"/>
          <w:lang w:val="en-US" w:eastAsia="zh-CN" w:bidi="ar-SA"/>
        </w:rPr>
      </w:pPr>
      <w:r>
        <w:rPr>
          <w:rFonts w:hint="eastAsia" w:ascii="宋体" w:hAnsi="宋体" w:eastAsia="宋体" w:cs="宋体"/>
          <w:b w:val="0"/>
          <w:bCs w:val="0"/>
          <w:kern w:val="0"/>
          <w:sz w:val="20"/>
          <w:szCs w:val="20"/>
          <w:lang w:val="en-US" w:eastAsia="zh-CN" w:bidi="ar-SA"/>
        </w:rPr>
        <w:t>2023年11月1日，</w:t>
      </w:r>
      <w:r>
        <w:rPr>
          <w:rFonts w:hint="eastAsia" w:ascii="宋体" w:hAnsi="宋体" w:cs="宋体"/>
          <w:b w:val="0"/>
          <w:bCs w:val="0"/>
          <w:kern w:val="0"/>
          <w:sz w:val="20"/>
          <w:szCs w:val="20"/>
          <w:lang w:val="en-US" w:eastAsia="zh-CN" w:bidi="ar-SA"/>
        </w:rPr>
        <w:t>西安市副市长</w:t>
      </w:r>
      <w:r>
        <w:rPr>
          <w:rFonts w:hint="eastAsia" w:ascii="宋体" w:hAnsi="宋体" w:eastAsia="宋体" w:cs="宋体"/>
          <w:b w:val="0"/>
          <w:bCs w:val="0"/>
          <w:kern w:val="0"/>
          <w:sz w:val="20"/>
          <w:szCs w:val="20"/>
          <w:lang w:val="en-US" w:eastAsia="zh-CN" w:bidi="ar-SA"/>
        </w:rPr>
        <w:t>杨</w:t>
      </w:r>
      <w:r>
        <w:rPr>
          <w:rFonts w:hint="eastAsia" w:ascii="宋体" w:hAnsi="宋体" w:cs="宋体"/>
          <w:b w:val="0"/>
          <w:bCs w:val="0"/>
          <w:kern w:val="0"/>
          <w:sz w:val="20"/>
          <w:szCs w:val="20"/>
          <w:lang w:val="en-US" w:eastAsia="zh-CN" w:bidi="ar-SA"/>
        </w:rPr>
        <w:t>建强</w:t>
      </w:r>
      <w:r>
        <w:rPr>
          <w:rFonts w:hint="eastAsia" w:ascii="宋体" w:hAnsi="宋体" w:eastAsia="宋体" w:cs="宋体"/>
          <w:b w:val="0"/>
          <w:bCs w:val="0"/>
          <w:kern w:val="0"/>
          <w:sz w:val="20"/>
          <w:szCs w:val="20"/>
          <w:lang w:val="en-US" w:eastAsia="zh-CN" w:bidi="ar-SA"/>
        </w:rPr>
        <w:t>亲临莲湖区调研指导“保回迁”工作，要求政府投资类项目及时止损、社会类投资项目算好平衡账，对桃园三坊棚改项目给予大力支持，帮助项目完成后续拆除收尾工作，为如期完成回迁提供了大力帮助支持。</w:t>
      </w:r>
    </w:p>
    <w:p w14:paraId="109C0078">
      <w:pPr>
        <w:pStyle w:val="5"/>
        <w:numPr>
          <w:ilvl w:val="0"/>
          <w:numId w:val="0"/>
        </w:numPr>
        <w:ind w:firstLine="400" w:firstLineChars="200"/>
        <w:rPr>
          <w:rFonts w:hint="eastAsia" w:ascii="宋体" w:hAnsi="宋体" w:eastAsia="宋体" w:cs="宋体"/>
          <w:b w:val="0"/>
          <w:bCs w:val="0"/>
          <w:kern w:val="0"/>
          <w:sz w:val="20"/>
          <w:szCs w:val="20"/>
          <w:lang w:val="en-US" w:eastAsia="zh-CN" w:bidi="ar-SA"/>
        </w:rPr>
      </w:pPr>
      <w:r>
        <w:rPr>
          <w:rFonts w:hint="eastAsia" w:ascii="宋体" w:hAnsi="宋体" w:eastAsia="宋体" w:cs="宋体"/>
          <w:b w:val="0"/>
          <w:bCs w:val="0"/>
          <w:kern w:val="0"/>
          <w:sz w:val="20"/>
          <w:szCs w:val="20"/>
          <w:lang w:val="en-US" w:eastAsia="zh-CN" w:bidi="ar-SA"/>
        </w:rPr>
        <w:t>为保证项目顺利推进，2024年8月</w:t>
      </w:r>
      <w:r>
        <w:rPr>
          <w:rFonts w:hint="eastAsia" w:ascii="宋体" w:hAnsi="宋体" w:cs="宋体"/>
          <w:b w:val="0"/>
          <w:bCs w:val="0"/>
          <w:kern w:val="0"/>
          <w:sz w:val="20"/>
          <w:szCs w:val="20"/>
          <w:lang w:val="en-US" w:eastAsia="zh-CN" w:bidi="ar-SA"/>
        </w:rPr>
        <w:t>桃园三坊棚户区改造项目房屋征收</w:t>
      </w:r>
      <w:r>
        <w:rPr>
          <w:rFonts w:hint="eastAsia" w:ascii="宋体" w:hAnsi="宋体" w:eastAsia="宋体" w:cs="宋体"/>
          <w:b w:val="0"/>
          <w:bCs w:val="0"/>
          <w:kern w:val="0"/>
          <w:sz w:val="20"/>
          <w:szCs w:val="20"/>
          <w:lang w:val="en-US" w:eastAsia="zh-CN" w:bidi="ar-SA"/>
        </w:rPr>
        <w:t>指挥部会议研究由投资主体另一股东西咸新区新邦家食品有限公司定期按楼栋列出计划，做好资金预算，分期分批追加足额资金，进行后续征收工作。并由政府相关部门出具会议纪要。内容如下：</w:t>
      </w:r>
    </w:p>
    <w:p w14:paraId="607D2B2B">
      <w:pPr>
        <w:pStyle w:val="5"/>
        <w:rPr>
          <w:rFonts w:hint="eastAsia" w:ascii="宋体" w:hAnsi="宋体" w:eastAsia="宋体" w:cs="宋体"/>
          <w:kern w:val="0"/>
          <w:sz w:val="20"/>
          <w:szCs w:val="20"/>
          <w:lang w:val="en-US" w:eastAsia="zh-CN"/>
        </w:rPr>
      </w:pPr>
      <w:r>
        <w:drawing>
          <wp:inline distT="0" distB="0" distL="114300" distR="114300">
            <wp:extent cx="2334260" cy="304800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a:stretch>
                      <a:fillRect/>
                    </a:stretch>
                  </pic:blipFill>
                  <pic:spPr>
                    <a:xfrm>
                      <a:off x="0" y="0"/>
                      <a:ext cx="2334260" cy="3048000"/>
                    </a:xfrm>
                    <a:prstGeom prst="rect">
                      <a:avLst/>
                    </a:prstGeom>
                    <a:noFill/>
                    <a:ln>
                      <a:noFill/>
                    </a:ln>
                  </pic:spPr>
                </pic:pic>
              </a:graphicData>
            </a:graphic>
          </wp:inline>
        </w:drawing>
      </w:r>
      <w:r>
        <w:drawing>
          <wp:inline distT="0" distB="0" distL="114300" distR="114300">
            <wp:extent cx="2319655" cy="264795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2319655" cy="2647950"/>
                    </a:xfrm>
                    <a:prstGeom prst="rect">
                      <a:avLst/>
                    </a:prstGeom>
                    <a:noFill/>
                    <a:ln>
                      <a:noFill/>
                    </a:ln>
                  </pic:spPr>
                </pic:pic>
              </a:graphicData>
            </a:graphic>
          </wp:inline>
        </w:drawing>
      </w:r>
    </w:p>
    <w:p w14:paraId="1E1B9D29">
      <w:pPr>
        <w:pStyle w:val="5"/>
        <w:rPr>
          <w:rFonts w:hint="default"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（3）项目经济指标及货值</w:t>
      </w:r>
    </w:p>
    <w:p w14:paraId="6EF63F4F">
      <w:pPr>
        <w:pStyle w:val="5"/>
        <w:numPr>
          <w:ilvl w:val="0"/>
          <w:numId w:val="0"/>
        </w:numPr>
        <w:ind w:firstLine="402" w:firstLineChars="200"/>
        <w:rPr>
          <w:rFonts w:hint="eastAsia" w:ascii="宋体" w:hAnsi="宋体" w:eastAsia="宋体" w:cs="宋体"/>
          <w:b w:val="0"/>
          <w:bCs w:val="0"/>
          <w:kern w:val="0"/>
          <w:sz w:val="20"/>
          <w:szCs w:val="20"/>
          <w:lang w:val="en-US" w:eastAsia="zh-CN" w:bidi="ar-SA"/>
        </w:rPr>
      </w:pPr>
      <w:r>
        <w:rPr>
          <w:rFonts w:hint="eastAsia" w:ascii="宋体" w:hAnsi="宋体" w:eastAsia="宋体" w:cs="宋体"/>
          <w:b/>
          <w:bCs/>
          <w:kern w:val="0"/>
          <w:sz w:val="20"/>
          <w:szCs w:val="20"/>
          <w:lang w:val="en-US" w:eastAsia="zh-CN" w:bidi="ar-SA"/>
        </w:rPr>
        <w:t>投资主体介绍：</w:t>
      </w:r>
      <w:r>
        <w:rPr>
          <w:rFonts w:hint="eastAsia" w:ascii="宋体" w:hAnsi="宋体" w:eastAsia="宋体" w:cs="宋体"/>
          <w:b w:val="0"/>
          <w:bCs w:val="0"/>
          <w:kern w:val="0"/>
          <w:sz w:val="20"/>
          <w:szCs w:val="20"/>
          <w:lang w:val="en-US" w:eastAsia="zh-CN" w:bidi="ar-SA"/>
        </w:rPr>
        <w:t>陕西云圣置业有限公司，成立于2014年11月4日，注册资本10000万元，经营范围为房地产开发。2017年12月18日市城改办下发《关于将桃园三坊列入国有土地上棚户区改造项目批复》（市城改【2017】216号），同意将云圣公司作为莲湖区桃园三坊棚户区改造项目的投资主体，经莲湖区政府招商引资，雅居乐决定投资云圣公司，共同开发桃园三坊项目。云圣公司经过股权变更，股东为西安常雅房地产开发有限公司（65%）和西咸新区新邦家有机食品有限公司（35%）。西咸新区新邦家有机食品有限公司为景寓置业的兄弟单位，实际控制人为琚保卫。</w:t>
      </w:r>
    </w:p>
    <w:p w14:paraId="07462219">
      <w:pPr>
        <w:widowControl/>
        <w:ind w:firstLine="400" w:firstLineChars="200"/>
        <w:jc w:val="left"/>
        <w:rPr>
          <w:rFonts w:hint="default" w:ascii="宋体" w:hAnsi="宋体" w:eastAsia="宋体" w:cs="宋体"/>
          <w:b w:val="0"/>
          <w:bCs w:val="0"/>
          <w:kern w:val="0"/>
          <w:sz w:val="20"/>
          <w:szCs w:val="20"/>
          <w:lang w:val="en-US" w:eastAsia="zh-CN" w:bidi="ar-SA"/>
        </w:rPr>
      </w:pPr>
      <w:r>
        <w:rPr>
          <w:rFonts w:hint="eastAsia" w:ascii="宋体" w:hAnsi="宋体" w:eastAsia="宋体" w:cs="宋体"/>
          <w:b w:val="0"/>
          <w:bCs w:val="0"/>
          <w:kern w:val="0"/>
          <w:sz w:val="20"/>
          <w:szCs w:val="20"/>
          <w:lang w:val="en-US" w:eastAsia="zh-CN" w:bidi="ar-SA"/>
        </w:rPr>
        <w:t>股权结构图如下：</w:t>
      </w:r>
    </w:p>
    <w:p w14:paraId="07A52DB5">
      <w:pPr>
        <w:pStyle w:val="5"/>
        <w:ind w:left="0" w:leftChars="0" w:firstLine="0" w:firstLineChars="0"/>
        <w:jc w:val="center"/>
        <w:rPr>
          <w:rFonts w:hint="eastAsia" w:ascii="宋体" w:hAnsi="宋体" w:eastAsia="宋体" w:cs="宋体"/>
          <w:b/>
          <w:bCs/>
          <w:kern w:val="0"/>
          <w:sz w:val="20"/>
          <w:szCs w:val="20"/>
          <w:lang w:val="en-US" w:eastAsia="zh-CN" w:bidi="ar-SA"/>
        </w:rPr>
      </w:pPr>
      <w:r>
        <w:drawing>
          <wp:inline distT="0" distB="0" distL="114300" distR="114300">
            <wp:extent cx="2943860" cy="3249930"/>
            <wp:effectExtent l="0" t="0" r="889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9"/>
                    <a:stretch>
                      <a:fillRect/>
                    </a:stretch>
                  </pic:blipFill>
                  <pic:spPr>
                    <a:xfrm>
                      <a:off x="0" y="0"/>
                      <a:ext cx="2943860" cy="3249930"/>
                    </a:xfrm>
                    <a:prstGeom prst="rect">
                      <a:avLst/>
                    </a:prstGeom>
                    <a:noFill/>
                    <a:ln>
                      <a:noFill/>
                    </a:ln>
                  </pic:spPr>
                </pic:pic>
              </a:graphicData>
            </a:graphic>
          </wp:inline>
        </w:drawing>
      </w:r>
    </w:p>
    <w:p w14:paraId="2EDADE93">
      <w:pPr>
        <w:pStyle w:val="5"/>
        <w:numPr>
          <w:ilvl w:val="0"/>
          <w:numId w:val="1"/>
        </w:numPr>
        <w:ind w:firstLine="400" w:firstLineChars="200"/>
        <w:rPr>
          <w:rFonts w:hint="eastAsia" w:ascii="宋体" w:hAnsi="宋体" w:eastAsia="宋体" w:cs="宋体"/>
          <w:b w:val="0"/>
          <w:bCs w:val="0"/>
          <w:kern w:val="0"/>
          <w:sz w:val="20"/>
          <w:szCs w:val="20"/>
          <w:lang w:val="en-US" w:eastAsia="zh-CN" w:bidi="ar-SA"/>
        </w:rPr>
      </w:pPr>
      <w:r>
        <w:rPr>
          <w:rFonts w:hint="eastAsia" w:ascii="宋体" w:hAnsi="宋体" w:eastAsia="宋体" w:cs="宋体"/>
          <w:b w:val="0"/>
          <w:bCs w:val="0"/>
          <w:kern w:val="0"/>
          <w:sz w:val="20"/>
          <w:szCs w:val="20"/>
          <w:lang w:val="en-US" w:eastAsia="zh-CN" w:bidi="ar-SA"/>
        </w:rPr>
        <w:t>项目优化调整情况</w:t>
      </w:r>
    </w:p>
    <w:p w14:paraId="36764BDD">
      <w:pPr>
        <w:pStyle w:val="5"/>
        <w:numPr>
          <w:ilvl w:val="0"/>
          <w:numId w:val="0"/>
        </w:numPr>
        <w:ind w:firstLine="400" w:firstLineChars="200"/>
        <w:rPr>
          <w:rFonts w:hint="eastAsia" w:ascii="宋体" w:hAnsi="宋体" w:eastAsia="宋体" w:cs="宋体"/>
          <w:b w:val="0"/>
          <w:bCs w:val="0"/>
          <w:kern w:val="0"/>
          <w:sz w:val="20"/>
          <w:szCs w:val="20"/>
          <w:lang w:val="en-US" w:eastAsia="zh-CN" w:bidi="ar-SA"/>
        </w:rPr>
      </w:pPr>
      <w:r>
        <w:rPr>
          <w:rFonts w:hint="eastAsia" w:ascii="宋体" w:hAnsi="宋体" w:eastAsia="宋体" w:cs="宋体"/>
          <w:b w:val="0"/>
          <w:bCs w:val="0"/>
          <w:kern w:val="0"/>
          <w:sz w:val="20"/>
          <w:szCs w:val="20"/>
          <w:lang w:val="en-US" w:eastAsia="zh-CN" w:bidi="ar-SA"/>
        </w:rPr>
        <w:t>该项目规划总用地约109亩，由6个地块构成，规划用地性质分别为项目用地为二类居住用地、商业用地及行政办公用地。</w:t>
      </w:r>
    </w:p>
    <w:p w14:paraId="108D37BD">
      <w:pPr>
        <w:spacing w:line="360" w:lineRule="auto"/>
        <w:ind w:firstLine="301" w:firstLineChars="150"/>
        <w:jc w:val="center"/>
        <w:rPr>
          <w:rFonts w:hint="eastAsia" w:ascii="宋体" w:hAnsi="宋体" w:eastAsia="宋体" w:cs="宋体"/>
          <w:b/>
          <w:bCs/>
          <w:sz w:val="20"/>
          <w:szCs w:val="20"/>
        </w:rPr>
      </w:pPr>
      <w:r>
        <w:rPr>
          <w:rFonts w:hint="eastAsia" w:ascii="宋体" w:hAnsi="宋体" w:eastAsia="宋体" w:cs="宋体"/>
          <w:b/>
          <w:bCs/>
          <w:sz w:val="20"/>
          <w:szCs w:val="20"/>
        </w:rPr>
        <w:t>项目各地块规划用地情况表</w:t>
      </w:r>
    </w:p>
    <w:tbl>
      <w:tblPr>
        <w:tblStyle w:val="6"/>
        <w:tblW w:w="895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28"/>
        <w:gridCol w:w="1545"/>
        <w:gridCol w:w="1545"/>
        <w:gridCol w:w="1545"/>
        <w:gridCol w:w="1545"/>
        <w:gridCol w:w="1548"/>
      </w:tblGrid>
      <w:tr w14:paraId="5F06C3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1228" w:type="dxa"/>
            <w:tcBorders>
              <w:top w:val="single" w:color="auto" w:sz="8" w:space="0"/>
              <w:left w:val="single" w:color="auto" w:sz="8" w:space="0"/>
              <w:bottom w:val="single" w:color="auto" w:sz="4" w:space="0"/>
              <w:right w:val="single" w:color="auto" w:sz="4" w:space="0"/>
            </w:tcBorders>
            <w:noWrap w:val="0"/>
            <w:vAlign w:val="center"/>
          </w:tcPr>
          <w:p w14:paraId="22210862">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0"/>
                <w:szCs w:val="20"/>
                <w:lang w:val="en-US" w:eastAsia="zh-CN"/>
              </w:rPr>
            </w:pPr>
            <w:r>
              <w:rPr>
                <w:rFonts w:hint="eastAsia" w:ascii="宋体" w:hAnsi="宋体" w:eastAsia="宋体" w:cs="宋体"/>
                <w:b/>
                <w:bCs/>
                <w:sz w:val="20"/>
                <w:szCs w:val="20"/>
                <w:lang w:val="en-US" w:eastAsia="zh-CN"/>
              </w:rPr>
              <w:t>编号</w:t>
            </w:r>
          </w:p>
        </w:tc>
        <w:tc>
          <w:tcPr>
            <w:tcW w:w="1545" w:type="dxa"/>
            <w:tcBorders>
              <w:top w:val="single" w:color="auto" w:sz="8" w:space="0"/>
              <w:left w:val="single" w:color="auto" w:sz="8" w:space="0"/>
              <w:bottom w:val="single" w:color="auto" w:sz="4" w:space="0"/>
              <w:right w:val="single" w:color="auto" w:sz="4" w:space="0"/>
            </w:tcBorders>
            <w:noWrap w:val="0"/>
            <w:vAlign w:val="center"/>
          </w:tcPr>
          <w:p w14:paraId="383D4347">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0"/>
                <w:szCs w:val="20"/>
              </w:rPr>
            </w:pPr>
            <w:r>
              <w:rPr>
                <w:rFonts w:hint="eastAsia" w:ascii="宋体" w:hAnsi="宋体" w:eastAsia="宋体" w:cs="宋体"/>
                <w:b/>
                <w:bCs/>
                <w:sz w:val="20"/>
                <w:szCs w:val="20"/>
              </w:rPr>
              <w:t>地块</w:t>
            </w:r>
          </w:p>
        </w:tc>
        <w:tc>
          <w:tcPr>
            <w:tcW w:w="1545" w:type="dxa"/>
            <w:tcBorders>
              <w:top w:val="single" w:color="auto" w:sz="8" w:space="0"/>
              <w:left w:val="single" w:color="auto" w:sz="4" w:space="0"/>
              <w:bottom w:val="single" w:color="auto" w:sz="4" w:space="0"/>
              <w:right w:val="single" w:color="auto" w:sz="4" w:space="0"/>
            </w:tcBorders>
            <w:noWrap w:val="0"/>
            <w:vAlign w:val="center"/>
          </w:tcPr>
          <w:p w14:paraId="232CFC07">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0"/>
                <w:szCs w:val="20"/>
              </w:rPr>
            </w:pPr>
            <w:r>
              <w:rPr>
                <w:rFonts w:hint="eastAsia" w:ascii="宋体" w:hAnsi="宋体" w:eastAsia="宋体" w:cs="宋体"/>
                <w:b/>
                <w:bCs/>
                <w:sz w:val="20"/>
                <w:szCs w:val="20"/>
              </w:rPr>
              <w:t>用地性质</w:t>
            </w:r>
          </w:p>
        </w:tc>
        <w:tc>
          <w:tcPr>
            <w:tcW w:w="1545" w:type="dxa"/>
            <w:tcBorders>
              <w:top w:val="single" w:color="auto" w:sz="8" w:space="0"/>
              <w:left w:val="single" w:color="auto" w:sz="4" w:space="0"/>
              <w:bottom w:val="single" w:color="auto" w:sz="4" w:space="0"/>
              <w:right w:val="single" w:color="auto" w:sz="4" w:space="0"/>
            </w:tcBorders>
            <w:noWrap w:val="0"/>
            <w:vAlign w:val="center"/>
          </w:tcPr>
          <w:p w14:paraId="74D1E707">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0"/>
                <w:szCs w:val="20"/>
              </w:rPr>
            </w:pPr>
            <w:r>
              <w:rPr>
                <w:rFonts w:hint="eastAsia" w:ascii="宋体" w:hAnsi="宋体" w:eastAsia="宋体" w:cs="宋体"/>
                <w:b/>
                <w:bCs/>
                <w:sz w:val="20"/>
                <w:szCs w:val="20"/>
              </w:rPr>
              <w:t>用地面积（亩）</w:t>
            </w:r>
          </w:p>
        </w:tc>
        <w:tc>
          <w:tcPr>
            <w:tcW w:w="1545" w:type="dxa"/>
            <w:tcBorders>
              <w:top w:val="single" w:color="auto" w:sz="8" w:space="0"/>
              <w:left w:val="single" w:color="auto" w:sz="4" w:space="0"/>
              <w:bottom w:val="single" w:color="auto" w:sz="4" w:space="0"/>
              <w:right w:val="single" w:color="auto" w:sz="4" w:space="0"/>
            </w:tcBorders>
            <w:noWrap w:val="0"/>
            <w:vAlign w:val="center"/>
          </w:tcPr>
          <w:p w14:paraId="162CB612">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0"/>
                <w:szCs w:val="20"/>
              </w:rPr>
            </w:pPr>
            <w:r>
              <w:rPr>
                <w:rFonts w:hint="eastAsia" w:ascii="宋体" w:hAnsi="宋体" w:eastAsia="宋体" w:cs="宋体"/>
                <w:b/>
                <w:bCs/>
                <w:sz w:val="20"/>
                <w:szCs w:val="20"/>
              </w:rPr>
              <w:t>容积率</w:t>
            </w:r>
          </w:p>
        </w:tc>
        <w:tc>
          <w:tcPr>
            <w:tcW w:w="1548" w:type="dxa"/>
            <w:tcBorders>
              <w:top w:val="single" w:color="auto" w:sz="8" w:space="0"/>
              <w:left w:val="single" w:color="auto" w:sz="4" w:space="0"/>
              <w:bottom w:val="single" w:color="auto" w:sz="4" w:space="0"/>
              <w:right w:val="single" w:color="auto" w:sz="8" w:space="0"/>
            </w:tcBorders>
            <w:noWrap w:val="0"/>
            <w:vAlign w:val="center"/>
          </w:tcPr>
          <w:p w14:paraId="2EE88832">
            <w:pPr>
              <w:keepNext w:val="0"/>
              <w:keepLines w:val="0"/>
              <w:suppressLineNumbers w:val="0"/>
              <w:spacing w:before="0" w:beforeAutospacing="0" w:after="0" w:afterAutospacing="0" w:line="240" w:lineRule="auto"/>
              <w:ind w:left="0" w:right="0"/>
              <w:jc w:val="center"/>
              <w:rPr>
                <w:rFonts w:hint="eastAsia" w:ascii="宋体" w:hAnsi="宋体" w:eastAsia="宋体" w:cs="宋体"/>
                <w:b/>
                <w:bCs/>
                <w:sz w:val="20"/>
                <w:szCs w:val="20"/>
                <w:lang w:eastAsia="zh-CN"/>
              </w:rPr>
            </w:pPr>
            <w:r>
              <w:rPr>
                <w:rFonts w:hint="eastAsia" w:ascii="宋体" w:hAnsi="宋体" w:eastAsia="宋体" w:cs="宋体"/>
                <w:b/>
                <w:bCs/>
                <w:sz w:val="20"/>
                <w:szCs w:val="20"/>
                <w:lang w:val="en-US" w:eastAsia="zh-CN"/>
              </w:rPr>
              <w:t>用途</w:t>
            </w:r>
          </w:p>
        </w:tc>
      </w:tr>
      <w:tr w14:paraId="13F4EE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228" w:type="dxa"/>
            <w:tcBorders>
              <w:top w:val="single" w:color="auto" w:sz="4" w:space="0"/>
              <w:left w:val="single" w:color="auto" w:sz="8" w:space="0"/>
              <w:bottom w:val="single" w:color="auto" w:sz="4" w:space="0"/>
              <w:right w:val="single" w:color="auto" w:sz="4" w:space="0"/>
            </w:tcBorders>
            <w:noWrap w:val="0"/>
            <w:vAlign w:val="center"/>
          </w:tcPr>
          <w:p w14:paraId="5821DA18">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1545" w:type="dxa"/>
            <w:tcBorders>
              <w:top w:val="single" w:color="auto" w:sz="4" w:space="0"/>
              <w:left w:val="single" w:color="auto" w:sz="8" w:space="0"/>
              <w:bottom w:val="single" w:color="auto" w:sz="4" w:space="0"/>
              <w:right w:val="single" w:color="auto" w:sz="4" w:space="0"/>
            </w:tcBorders>
            <w:noWrap w:val="0"/>
            <w:vAlign w:val="center"/>
          </w:tcPr>
          <w:p w14:paraId="5348C95D">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rPr>
            </w:pPr>
            <w:r>
              <w:rPr>
                <w:rFonts w:hint="eastAsia" w:ascii="宋体" w:hAnsi="宋体" w:eastAsia="宋体" w:cs="宋体"/>
                <w:sz w:val="20"/>
                <w:szCs w:val="20"/>
              </w:rPr>
              <w:t>DK-1</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1912713A">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rPr>
            </w:pPr>
            <w:r>
              <w:rPr>
                <w:rFonts w:hint="eastAsia" w:ascii="宋体" w:hAnsi="宋体" w:eastAsia="宋体" w:cs="宋体"/>
                <w:sz w:val="20"/>
                <w:szCs w:val="20"/>
              </w:rPr>
              <w:t>二类居住用地</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734F133F">
            <w:pPr>
              <w:keepNext w:val="0"/>
              <w:keepLines w:val="0"/>
              <w:suppressLineNumbers w:val="0"/>
              <w:spacing w:before="0" w:beforeAutospacing="0" w:after="0" w:afterAutospacing="0" w:line="240" w:lineRule="auto"/>
              <w:ind w:left="0" w:leftChars="0" w:right="0" w:rightChars="0"/>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72.94</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5F1861A2">
            <w:pPr>
              <w:keepNext w:val="0"/>
              <w:keepLines w:val="0"/>
              <w:suppressLineNumbers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rPr>
              <w:t>3.</w:t>
            </w:r>
            <w:r>
              <w:rPr>
                <w:rFonts w:hint="eastAsia" w:ascii="宋体" w:hAnsi="宋体" w:eastAsia="宋体" w:cs="宋体"/>
                <w:sz w:val="20"/>
                <w:szCs w:val="20"/>
                <w:lang w:val="en-US" w:eastAsia="zh-CN"/>
              </w:rPr>
              <w:t>3</w:t>
            </w:r>
            <w:r>
              <w:rPr>
                <w:rFonts w:hint="eastAsia" w:ascii="宋体" w:hAnsi="宋体" w:cs="宋体"/>
                <w:sz w:val="20"/>
                <w:szCs w:val="20"/>
                <w:lang w:val="en-US" w:eastAsia="zh-CN"/>
              </w:rPr>
              <w:t>3</w:t>
            </w:r>
          </w:p>
        </w:tc>
        <w:tc>
          <w:tcPr>
            <w:tcW w:w="1548" w:type="dxa"/>
            <w:tcBorders>
              <w:top w:val="single" w:color="auto" w:sz="4" w:space="0"/>
              <w:left w:val="single" w:color="auto" w:sz="4" w:space="0"/>
              <w:bottom w:val="single" w:color="auto" w:sz="4" w:space="0"/>
              <w:right w:val="single" w:color="auto" w:sz="8" w:space="0"/>
            </w:tcBorders>
            <w:noWrap w:val="0"/>
            <w:vAlign w:val="center"/>
          </w:tcPr>
          <w:p w14:paraId="60DA27E5">
            <w:pPr>
              <w:keepNext w:val="0"/>
              <w:keepLines w:val="0"/>
              <w:suppressLineNumbers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开发、安置</w:t>
            </w:r>
            <w:r>
              <w:rPr>
                <w:rFonts w:hint="eastAsia" w:ascii="宋体" w:hAnsi="宋体" w:cs="宋体"/>
                <w:sz w:val="20"/>
                <w:szCs w:val="20"/>
                <w:lang w:val="en-US" w:eastAsia="zh-CN"/>
              </w:rPr>
              <w:t>东区</w:t>
            </w:r>
          </w:p>
        </w:tc>
      </w:tr>
      <w:tr w14:paraId="7D850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228" w:type="dxa"/>
            <w:tcBorders>
              <w:top w:val="single" w:color="auto" w:sz="4" w:space="0"/>
              <w:left w:val="single" w:color="auto" w:sz="8" w:space="0"/>
              <w:bottom w:val="single" w:color="auto" w:sz="4" w:space="0"/>
              <w:right w:val="single" w:color="auto" w:sz="4" w:space="0"/>
            </w:tcBorders>
            <w:noWrap w:val="0"/>
            <w:vAlign w:val="center"/>
          </w:tcPr>
          <w:p w14:paraId="7BE1F87F">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1545" w:type="dxa"/>
            <w:tcBorders>
              <w:top w:val="single" w:color="auto" w:sz="4" w:space="0"/>
              <w:left w:val="single" w:color="auto" w:sz="8" w:space="0"/>
              <w:bottom w:val="single" w:color="auto" w:sz="4" w:space="0"/>
              <w:right w:val="single" w:color="auto" w:sz="4" w:space="0"/>
            </w:tcBorders>
            <w:noWrap w:val="0"/>
            <w:vAlign w:val="center"/>
          </w:tcPr>
          <w:p w14:paraId="1226282C">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rPr>
            </w:pPr>
            <w:r>
              <w:rPr>
                <w:rFonts w:hint="eastAsia" w:ascii="宋体" w:hAnsi="宋体" w:eastAsia="宋体" w:cs="宋体"/>
                <w:sz w:val="20"/>
                <w:szCs w:val="20"/>
              </w:rPr>
              <w:t>DK-2-1</w:t>
            </w:r>
          </w:p>
        </w:tc>
        <w:tc>
          <w:tcPr>
            <w:tcW w:w="1545" w:type="dxa"/>
            <w:vMerge w:val="restart"/>
            <w:tcBorders>
              <w:top w:val="single" w:color="auto" w:sz="4" w:space="0"/>
              <w:left w:val="single" w:color="auto" w:sz="4" w:space="0"/>
              <w:right w:val="single" w:color="auto" w:sz="4" w:space="0"/>
            </w:tcBorders>
            <w:noWrap w:val="0"/>
            <w:vAlign w:val="center"/>
          </w:tcPr>
          <w:p w14:paraId="31C3B797">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rPr>
            </w:pPr>
            <w:r>
              <w:rPr>
                <w:rFonts w:hint="eastAsia" w:ascii="宋体" w:hAnsi="宋体" w:eastAsia="宋体" w:cs="宋体"/>
                <w:sz w:val="20"/>
                <w:szCs w:val="20"/>
              </w:rPr>
              <w:t>二类居住用地</w:t>
            </w:r>
          </w:p>
        </w:tc>
        <w:tc>
          <w:tcPr>
            <w:tcW w:w="1545" w:type="dxa"/>
            <w:vMerge w:val="restart"/>
            <w:tcBorders>
              <w:top w:val="single" w:color="auto" w:sz="4" w:space="0"/>
              <w:left w:val="single" w:color="auto" w:sz="4" w:space="0"/>
              <w:right w:val="single" w:color="auto" w:sz="4" w:space="0"/>
            </w:tcBorders>
            <w:noWrap w:val="0"/>
            <w:vAlign w:val="center"/>
          </w:tcPr>
          <w:p w14:paraId="74CE20E8">
            <w:pPr>
              <w:keepNext w:val="0"/>
              <w:keepLines w:val="0"/>
              <w:suppressLineNumbers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27.49</w:t>
            </w:r>
            <w:r>
              <w:rPr>
                <w:rFonts w:hint="eastAsia" w:ascii="宋体" w:hAnsi="宋体" w:cs="宋体"/>
                <w:sz w:val="20"/>
                <w:szCs w:val="20"/>
                <w:lang w:val="en-US" w:eastAsia="zh-CN"/>
              </w:rPr>
              <w:t>8</w:t>
            </w:r>
          </w:p>
        </w:tc>
        <w:tc>
          <w:tcPr>
            <w:tcW w:w="1545" w:type="dxa"/>
            <w:vMerge w:val="restart"/>
            <w:tcBorders>
              <w:top w:val="single" w:color="auto" w:sz="4" w:space="0"/>
              <w:left w:val="single" w:color="auto" w:sz="4" w:space="0"/>
              <w:right w:val="single" w:color="auto" w:sz="4" w:space="0"/>
            </w:tcBorders>
            <w:noWrap w:val="0"/>
            <w:vAlign w:val="center"/>
          </w:tcPr>
          <w:p w14:paraId="318067CA">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2.46</w:t>
            </w:r>
          </w:p>
        </w:tc>
        <w:tc>
          <w:tcPr>
            <w:tcW w:w="1548" w:type="dxa"/>
            <w:vMerge w:val="restart"/>
            <w:tcBorders>
              <w:top w:val="single" w:color="auto" w:sz="4" w:space="0"/>
              <w:left w:val="single" w:color="auto" w:sz="4" w:space="0"/>
              <w:right w:val="single" w:color="auto" w:sz="8" w:space="0"/>
            </w:tcBorders>
            <w:noWrap w:val="0"/>
            <w:vAlign w:val="center"/>
          </w:tcPr>
          <w:p w14:paraId="523D702C">
            <w:pPr>
              <w:keepNext w:val="0"/>
              <w:keepLines w:val="0"/>
              <w:suppressLineNumbers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安置</w:t>
            </w:r>
            <w:r>
              <w:rPr>
                <w:rFonts w:hint="eastAsia" w:ascii="宋体" w:hAnsi="宋体" w:cs="宋体"/>
                <w:sz w:val="20"/>
                <w:szCs w:val="20"/>
                <w:lang w:val="en-US" w:eastAsia="zh-CN"/>
              </w:rPr>
              <w:t>西区</w:t>
            </w:r>
          </w:p>
        </w:tc>
      </w:tr>
      <w:tr w14:paraId="035BD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228" w:type="dxa"/>
            <w:tcBorders>
              <w:top w:val="single" w:color="auto" w:sz="4" w:space="0"/>
              <w:left w:val="single" w:color="auto" w:sz="8" w:space="0"/>
              <w:bottom w:val="single" w:color="auto" w:sz="4" w:space="0"/>
              <w:right w:val="single" w:color="auto" w:sz="4" w:space="0"/>
            </w:tcBorders>
            <w:noWrap w:val="0"/>
            <w:vAlign w:val="center"/>
          </w:tcPr>
          <w:p w14:paraId="75E0A6E5">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w:t>
            </w:r>
          </w:p>
        </w:tc>
        <w:tc>
          <w:tcPr>
            <w:tcW w:w="1545" w:type="dxa"/>
            <w:tcBorders>
              <w:top w:val="single" w:color="auto" w:sz="4" w:space="0"/>
              <w:left w:val="single" w:color="auto" w:sz="8" w:space="0"/>
              <w:bottom w:val="single" w:color="auto" w:sz="4" w:space="0"/>
              <w:right w:val="single" w:color="auto" w:sz="4" w:space="0"/>
            </w:tcBorders>
            <w:noWrap w:val="0"/>
            <w:vAlign w:val="center"/>
          </w:tcPr>
          <w:p w14:paraId="53681253">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rPr>
              <w:t>DK-</w:t>
            </w:r>
            <w:r>
              <w:rPr>
                <w:rFonts w:hint="eastAsia" w:ascii="宋体" w:hAnsi="宋体" w:eastAsia="宋体" w:cs="宋体"/>
                <w:sz w:val="20"/>
                <w:szCs w:val="20"/>
                <w:lang w:val="en-US" w:eastAsia="zh-CN"/>
              </w:rPr>
              <w:t>3</w:t>
            </w:r>
            <w:r>
              <w:rPr>
                <w:rFonts w:hint="eastAsia" w:ascii="宋体" w:hAnsi="宋体" w:eastAsia="宋体" w:cs="宋体"/>
                <w:sz w:val="20"/>
                <w:szCs w:val="20"/>
              </w:rPr>
              <w:t>-</w:t>
            </w:r>
            <w:r>
              <w:rPr>
                <w:rFonts w:hint="eastAsia" w:ascii="宋体" w:hAnsi="宋体" w:eastAsia="宋体" w:cs="宋体"/>
                <w:sz w:val="20"/>
                <w:szCs w:val="20"/>
                <w:lang w:val="en-US" w:eastAsia="zh-CN"/>
              </w:rPr>
              <w:t>1</w:t>
            </w:r>
          </w:p>
        </w:tc>
        <w:tc>
          <w:tcPr>
            <w:tcW w:w="1545" w:type="dxa"/>
            <w:vMerge w:val="continue"/>
            <w:tcBorders>
              <w:left w:val="single" w:color="auto" w:sz="4" w:space="0"/>
              <w:bottom w:val="single" w:color="auto" w:sz="4" w:space="0"/>
              <w:right w:val="single" w:color="auto" w:sz="4" w:space="0"/>
            </w:tcBorders>
            <w:noWrap w:val="0"/>
            <w:vAlign w:val="center"/>
          </w:tcPr>
          <w:p w14:paraId="679647E3">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rPr>
            </w:pPr>
          </w:p>
        </w:tc>
        <w:tc>
          <w:tcPr>
            <w:tcW w:w="1545" w:type="dxa"/>
            <w:vMerge w:val="continue"/>
            <w:tcBorders>
              <w:left w:val="single" w:color="auto" w:sz="4" w:space="0"/>
              <w:bottom w:val="single" w:color="auto" w:sz="4" w:space="0"/>
              <w:right w:val="single" w:color="auto" w:sz="4" w:space="0"/>
            </w:tcBorders>
            <w:noWrap w:val="0"/>
            <w:vAlign w:val="center"/>
          </w:tcPr>
          <w:p w14:paraId="2191EE91">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rPr>
            </w:pPr>
          </w:p>
        </w:tc>
        <w:tc>
          <w:tcPr>
            <w:tcW w:w="1545" w:type="dxa"/>
            <w:vMerge w:val="continue"/>
            <w:tcBorders>
              <w:left w:val="single" w:color="auto" w:sz="4" w:space="0"/>
              <w:bottom w:val="single" w:color="auto" w:sz="4" w:space="0"/>
              <w:right w:val="single" w:color="auto" w:sz="4" w:space="0"/>
            </w:tcBorders>
            <w:noWrap w:val="0"/>
            <w:vAlign w:val="center"/>
          </w:tcPr>
          <w:p w14:paraId="3E4F650C">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rPr>
            </w:pPr>
          </w:p>
        </w:tc>
        <w:tc>
          <w:tcPr>
            <w:tcW w:w="1548" w:type="dxa"/>
            <w:vMerge w:val="continue"/>
            <w:tcBorders>
              <w:left w:val="single" w:color="auto" w:sz="4" w:space="0"/>
              <w:bottom w:val="single" w:color="auto" w:sz="4" w:space="0"/>
              <w:right w:val="single" w:color="auto" w:sz="8" w:space="0"/>
            </w:tcBorders>
            <w:noWrap w:val="0"/>
            <w:vAlign w:val="center"/>
          </w:tcPr>
          <w:p w14:paraId="3CCB9460">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rPr>
            </w:pPr>
          </w:p>
        </w:tc>
      </w:tr>
      <w:tr w14:paraId="791FF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228" w:type="dxa"/>
            <w:tcBorders>
              <w:top w:val="single" w:color="auto" w:sz="4" w:space="0"/>
              <w:left w:val="single" w:color="auto" w:sz="8" w:space="0"/>
              <w:bottom w:val="single" w:color="auto" w:sz="4" w:space="0"/>
              <w:right w:val="single" w:color="auto" w:sz="4" w:space="0"/>
            </w:tcBorders>
            <w:noWrap w:val="0"/>
            <w:vAlign w:val="center"/>
          </w:tcPr>
          <w:p w14:paraId="223B1CA2">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1545" w:type="dxa"/>
            <w:tcBorders>
              <w:top w:val="single" w:color="auto" w:sz="4" w:space="0"/>
              <w:left w:val="single" w:color="auto" w:sz="8" w:space="0"/>
              <w:bottom w:val="single" w:color="auto" w:sz="4" w:space="0"/>
              <w:right w:val="single" w:color="auto" w:sz="4" w:space="0"/>
            </w:tcBorders>
            <w:noWrap w:val="0"/>
            <w:vAlign w:val="center"/>
          </w:tcPr>
          <w:p w14:paraId="5CAC5976">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rPr>
              <w:t>DK-2-</w:t>
            </w:r>
            <w:r>
              <w:rPr>
                <w:rFonts w:hint="eastAsia" w:ascii="宋体" w:hAnsi="宋体" w:eastAsia="宋体" w:cs="宋体"/>
                <w:sz w:val="20"/>
                <w:szCs w:val="20"/>
                <w:lang w:val="en-US" w:eastAsia="zh-CN"/>
              </w:rPr>
              <w:t>2</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68574EF6">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商业用地</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09CA061F">
            <w:pPr>
              <w:keepNext w:val="0"/>
              <w:keepLines w:val="0"/>
              <w:suppressLineNumbers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1.65</w:t>
            </w:r>
            <w:r>
              <w:rPr>
                <w:rFonts w:hint="eastAsia" w:ascii="宋体" w:hAnsi="宋体" w:cs="宋体"/>
                <w:sz w:val="20"/>
                <w:szCs w:val="20"/>
                <w:lang w:val="en-US" w:eastAsia="zh-CN"/>
              </w:rPr>
              <w:t>4</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22D78630">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2.11</w:t>
            </w:r>
          </w:p>
        </w:tc>
        <w:tc>
          <w:tcPr>
            <w:tcW w:w="1548" w:type="dxa"/>
            <w:tcBorders>
              <w:top w:val="single" w:color="auto" w:sz="4" w:space="0"/>
              <w:left w:val="single" w:color="auto" w:sz="4" w:space="0"/>
              <w:bottom w:val="single" w:color="auto" w:sz="4" w:space="0"/>
              <w:right w:val="single" w:color="auto" w:sz="8" w:space="0"/>
            </w:tcBorders>
            <w:noWrap w:val="0"/>
            <w:vAlign w:val="center"/>
          </w:tcPr>
          <w:p w14:paraId="38D6C1F8">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商业</w:t>
            </w:r>
          </w:p>
        </w:tc>
      </w:tr>
      <w:tr w14:paraId="7A0AB9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228" w:type="dxa"/>
            <w:tcBorders>
              <w:top w:val="single" w:color="auto" w:sz="4" w:space="0"/>
              <w:left w:val="single" w:color="auto" w:sz="8" w:space="0"/>
              <w:bottom w:val="single" w:color="auto" w:sz="4" w:space="0"/>
              <w:right w:val="single" w:color="auto" w:sz="4" w:space="0"/>
            </w:tcBorders>
            <w:noWrap w:val="0"/>
            <w:vAlign w:val="center"/>
          </w:tcPr>
          <w:p w14:paraId="5C33B415">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w:t>
            </w:r>
          </w:p>
        </w:tc>
        <w:tc>
          <w:tcPr>
            <w:tcW w:w="1545" w:type="dxa"/>
            <w:tcBorders>
              <w:top w:val="single" w:color="auto" w:sz="4" w:space="0"/>
              <w:left w:val="single" w:color="auto" w:sz="8" w:space="0"/>
              <w:bottom w:val="single" w:color="auto" w:sz="4" w:space="0"/>
              <w:right w:val="single" w:color="auto" w:sz="4" w:space="0"/>
            </w:tcBorders>
            <w:noWrap w:val="0"/>
            <w:vAlign w:val="center"/>
          </w:tcPr>
          <w:p w14:paraId="64DE6D08">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rPr>
              <w:t>DK-</w:t>
            </w:r>
            <w:r>
              <w:rPr>
                <w:rFonts w:hint="eastAsia" w:ascii="宋体" w:hAnsi="宋体" w:eastAsia="宋体" w:cs="宋体"/>
                <w:sz w:val="20"/>
                <w:szCs w:val="20"/>
                <w:lang w:val="en-US" w:eastAsia="zh-CN"/>
              </w:rPr>
              <w:t>2</w:t>
            </w:r>
            <w:r>
              <w:rPr>
                <w:rFonts w:hint="eastAsia" w:ascii="宋体" w:hAnsi="宋体" w:eastAsia="宋体" w:cs="宋体"/>
                <w:sz w:val="20"/>
                <w:szCs w:val="20"/>
              </w:rPr>
              <w:t>-</w:t>
            </w:r>
            <w:r>
              <w:rPr>
                <w:rFonts w:hint="eastAsia" w:ascii="宋体" w:hAnsi="宋体" w:eastAsia="宋体" w:cs="宋体"/>
                <w:sz w:val="20"/>
                <w:szCs w:val="20"/>
                <w:lang w:val="en-US" w:eastAsia="zh-CN"/>
              </w:rPr>
              <w:t>3</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268A8E69">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rPr>
            </w:pPr>
            <w:r>
              <w:rPr>
                <w:rFonts w:hint="eastAsia" w:ascii="宋体" w:hAnsi="宋体" w:eastAsia="宋体" w:cs="宋体"/>
                <w:sz w:val="20"/>
                <w:szCs w:val="20"/>
              </w:rPr>
              <w:t>行政办公用地</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3AEBFB08">
            <w:pPr>
              <w:keepNext w:val="0"/>
              <w:keepLines w:val="0"/>
              <w:suppressLineNumbers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lang w:val="en-US" w:eastAsia="zh-CN"/>
              </w:rPr>
              <w:t>2.</w:t>
            </w:r>
            <w:r>
              <w:rPr>
                <w:rFonts w:hint="eastAsia" w:ascii="宋体" w:hAnsi="宋体" w:cs="宋体"/>
                <w:sz w:val="20"/>
                <w:szCs w:val="20"/>
                <w:lang w:val="en-US" w:eastAsia="zh-CN"/>
              </w:rPr>
              <w:t>083</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630FD57F">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1548" w:type="dxa"/>
            <w:tcBorders>
              <w:top w:val="single" w:color="auto" w:sz="4" w:space="0"/>
              <w:left w:val="single" w:color="auto" w:sz="4" w:space="0"/>
              <w:bottom w:val="single" w:color="auto" w:sz="4" w:space="0"/>
              <w:right w:val="single" w:color="auto" w:sz="8" w:space="0"/>
            </w:tcBorders>
            <w:noWrap w:val="0"/>
            <w:vAlign w:val="center"/>
          </w:tcPr>
          <w:p w14:paraId="2A6D2E9C">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商业</w:t>
            </w:r>
          </w:p>
        </w:tc>
      </w:tr>
      <w:tr w14:paraId="3A4916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228" w:type="dxa"/>
            <w:tcBorders>
              <w:top w:val="single" w:color="auto" w:sz="4" w:space="0"/>
              <w:left w:val="single" w:color="auto" w:sz="8" w:space="0"/>
              <w:bottom w:val="single" w:color="auto" w:sz="4" w:space="0"/>
              <w:right w:val="single" w:color="auto" w:sz="4" w:space="0"/>
            </w:tcBorders>
            <w:noWrap w:val="0"/>
            <w:vAlign w:val="center"/>
          </w:tcPr>
          <w:p w14:paraId="1005DD6F">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6</w:t>
            </w:r>
          </w:p>
        </w:tc>
        <w:tc>
          <w:tcPr>
            <w:tcW w:w="1545" w:type="dxa"/>
            <w:tcBorders>
              <w:top w:val="single" w:color="auto" w:sz="4" w:space="0"/>
              <w:left w:val="single" w:color="auto" w:sz="8" w:space="0"/>
              <w:bottom w:val="single" w:color="auto" w:sz="4" w:space="0"/>
              <w:right w:val="single" w:color="auto" w:sz="4" w:space="0"/>
            </w:tcBorders>
            <w:noWrap w:val="0"/>
            <w:vAlign w:val="center"/>
          </w:tcPr>
          <w:p w14:paraId="6A10A368">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rPr>
            </w:pPr>
            <w:r>
              <w:rPr>
                <w:rFonts w:hint="eastAsia" w:ascii="宋体" w:hAnsi="宋体" w:eastAsia="宋体" w:cs="宋体"/>
                <w:sz w:val="20"/>
                <w:szCs w:val="20"/>
              </w:rPr>
              <w:t>DK-3-2</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04B62582">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rPr>
            </w:pPr>
            <w:r>
              <w:rPr>
                <w:rFonts w:hint="eastAsia" w:ascii="宋体" w:hAnsi="宋体" w:eastAsia="宋体" w:cs="宋体"/>
                <w:sz w:val="20"/>
                <w:szCs w:val="20"/>
              </w:rPr>
              <w:t>商业用地</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5BBEF8A4">
            <w:pPr>
              <w:keepNext w:val="0"/>
              <w:keepLines w:val="0"/>
              <w:suppressLineNumbers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eastAsia="宋体" w:cs="宋体"/>
                <w:sz w:val="20"/>
                <w:szCs w:val="20"/>
              </w:rPr>
              <w:t>4.</w:t>
            </w:r>
            <w:r>
              <w:rPr>
                <w:rFonts w:hint="eastAsia" w:ascii="宋体" w:hAnsi="宋体" w:cs="宋体"/>
                <w:sz w:val="20"/>
                <w:szCs w:val="20"/>
                <w:lang w:val="en-US" w:eastAsia="zh-CN"/>
              </w:rPr>
              <w:t>771</w:t>
            </w:r>
          </w:p>
        </w:tc>
        <w:tc>
          <w:tcPr>
            <w:tcW w:w="1545" w:type="dxa"/>
            <w:tcBorders>
              <w:top w:val="single" w:color="auto" w:sz="4" w:space="0"/>
              <w:left w:val="single" w:color="auto" w:sz="4" w:space="0"/>
              <w:bottom w:val="single" w:color="auto" w:sz="4" w:space="0"/>
              <w:right w:val="single" w:color="auto" w:sz="4" w:space="0"/>
            </w:tcBorders>
            <w:noWrap w:val="0"/>
            <w:vAlign w:val="center"/>
          </w:tcPr>
          <w:p w14:paraId="4045AFA9">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2.7</w:t>
            </w:r>
          </w:p>
        </w:tc>
        <w:tc>
          <w:tcPr>
            <w:tcW w:w="1548" w:type="dxa"/>
            <w:tcBorders>
              <w:top w:val="single" w:color="auto" w:sz="4" w:space="0"/>
              <w:left w:val="single" w:color="auto" w:sz="4" w:space="0"/>
              <w:bottom w:val="single" w:color="auto" w:sz="4" w:space="0"/>
              <w:right w:val="single" w:color="auto" w:sz="8" w:space="0"/>
            </w:tcBorders>
            <w:noWrap w:val="0"/>
            <w:vAlign w:val="center"/>
          </w:tcPr>
          <w:p w14:paraId="22E1A51B">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商业</w:t>
            </w:r>
          </w:p>
        </w:tc>
      </w:tr>
      <w:tr w14:paraId="7D129A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4318" w:type="dxa"/>
            <w:gridSpan w:val="3"/>
            <w:tcBorders>
              <w:top w:val="single" w:color="auto" w:sz="4" w:space="0"/>
              <w:left w:val="single" w:color="auto" w:sz="8" w:space="0"/>
              <w:bottom w:val="single" w:color="auto" w:sz="8" w:space="0"/>
              <w:right w:val="single" w:color="auto" w:sz="4" w:space="0"/>
            </w:tcBorders>
            <w:noWrap w:val="0"/>
            <w:vAlign w:val="center"/>
          </w:tcPr>
          <w:p w14:paraId="6E3EC4FA">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rPr>
            </w:pPr>
            <w:r>
              <w:rPr>
                <w:rFonts w:hint="eastAsia" w:ascii="宋体" w:hAnsi="宋体" w:eastAsia="宋体" w:cs="宋体"/>
                <w:sz w:val="20"/>
                <w:szCs w:val="20"/>
                <w:lang w:val="en-US" w:eastAsia="zh-CN"/>
              </w:rPr>
              <w:t>合计</w:t>
            </w:r>
          </w:p>
        </w:tc>
        <w:tc>
          <w:tcPr>
            <w:tcW w:w="1545" w:type="dxa"/>
            <w:tcBorders>
              <w:top w:val="single" w:color="auto" w:sz="4" w:space="0"/>
              <w:left w:val="single" w:color="auto" w:sz="4" w:space="0"/>
              <w:bottom w:val="single" w:color="auto" w:sz="8" w:space="0"/>
              <w:right w:val="single" w:color="auto" w:sz="4" w:space="0"/>
            </w:tcBorders>
            <w:noWrap w:val="0"/>
            <w:vAlign w:val="center"/>
          </w:tcPr>
          <w:p w14:paraId="1C9716B6">
            <w:pPr>
              <w:keepNext w:val="0"/>
              <w:keepLines w:val="0"/>
              <w:suppressLineNumbers w:val="0"/>
              <w:spacing w:before="0" w:beforeAutospacing="0" w:after="0" w:afterAutospacing="0" w:line="240" w:lineRule="auto"/>
              <w:ind w:left="0" w:right="0"/>
              <w:jc w:val="center"/>
              <w:rPr>
                <w:rFonts w:hint="default" w:ascii="宋体" w:hAnsi="宋体" w:eastAsia="宋体" w:cs="宋体"/>
                <w:sz w:val="20"/>
                <w:szCs w:val="20"/>
                <w:lang w:val="en-US" w:eastAsia="zh-CN"/>
              </w:rPr>
            </w:pPr>
            <w:r>
              <w:rPr>
                <w:rFonts w:hint="eastAsia" w:ascii="宋体" w:hAnsi="宋体" w:cs="宋体"/>
                <w:sz w:val="20"/>
                <w:szCs w:val="20"/>
                <w:lang w:val="en-US" w:eastAsia="zh-CN"/>
              </w:rPr>
              <w:t>108.95</w:t>
            </w:r>
          </w:p>
        </w:tc>
        <w:tc>
          <w:tcPr>
            <w:tcW w:w="3093" w:type="dxa"/>
            <w:gridSpan w:val="2"/>
            <w:tcBorders>
              <w:top w:val="single" w:color="auto" w:sz="4" w:space="0"/>
              <w:left w:val="single" w:color="auto" w:sz="4" w:space="0"/>
              <w:bottom w:val="single" w:color="auto" w:sz="8" w:space="0"/>
              <w:right w:val="single" w:color="auto" w:sz="8" w:space="0"/>
            </w:tcBorders>
            <w:noWrap w:val="0"/>
            <w:vAlign w:val="center"/>
          </w:tcPr>
          <w:p w14:paraId="2E2F75B0">
            <w:pPr>
              <w:keepNext w:val="0"/>
              <w:keepLines w:val="0"/>
              <w:suppressLineNumbers w:val="0"/>
              <w:spacing w:before="0" w:beforeAutospacing="0" w:after="0" w:afterAutospacing="0" w:line="240" w:lineRule="auto"/>
              <w:ind w:left="0" w:right="0"/>
              <w:jc w:val="center"/>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w:t>
            </w:r>
          </w:p>
        </w:tc>
      </w:tr>
    </w:tbl>
    <w:p w14:paraId="0648D788">
      <w:pPr>
        <w:widowControl/>
        <w:numPr>
          <w:ilvl w:val="0"/>
          <w:numId w:val="0"/>
        </w:numPr>
        <w:ind w:firstLine="400" w:firstLineChars="200"/>
        <w:jc w:val="left"/>
        <w:rPr>
          <w:rFonts w:hint="eastAsia" w:ascii="宋体" w:hAnsi="宋体" w:eastAsia="宋体" w:cs="宋体"/>
          <w:b w:val="0"/>
          <w:bCs w:val="0"/>
          <w:kern w:val="0"/>
          <w:sz w:val="20"/>
          <w:szCs w:val="20"/>
          <w:lang w:val="en-US" w:eastAsia="zh-CN" w:bidi="ar-SA"/>
        </w:rPr>
      </w:pPr>
    </w:p>
    <w:p w14:paraId="569184B5">
      <w:pPr>
        <w:pStyle w:val="5"/>
        <w:numPr>
          <w:ilvl w:val="0"/>
          <w:numId w:val="0"/>
        </w:numPr>
        <w:ind w:firstLine="400" w:firstLineChars="200"/>
        <w:rPr>
          <w:rFonts w:hint="default" w:ascii="仿宋" w:hAnsi="仿宋" w:eastAsia="仿宋" w:cs="仿宋"/>
          <w:b/>
          <w:bCs/>
          <w:sz w:val="28"/>
          <w:szCs w:val="28"/>
          <w:lang w:val="en-US" w:eastAsia="zh-CN"/>
        </w:rPr>
      </w:pPr>
      <w:r>
        <w:rPr>
          <w:rFonts w:hint="eastAsia" w:ascii="宋体" w:hAnsi="宋体" w:eastAsia="宋体" w:cs="宋体"/>
          <w:b w:val="0"/>
          <w:bCs w:val="0"/>
          <w:kern w:val="0"/>
          <w:sz w:val="20"/>
          <w:szCs w:val="20"/>
          <w:lang w:val="en-US" w:eastAsia="zh-CN" w:bidi="ar-SA"/>
        </w:rPr>
        <w:t>西安市莲湖区为完成“保回迁”项目安置用地规划及土地供应等问题，按期完成保回签任务，对项目地块进行路网调整，调整后：DK-1为</w:t>
      </w:r>
      <w:r>
        <w:rPr>
          <w:rFonts w:hint="eastAsia" w:ascii="宋体" w:hAnsi="宋体" w:cs="宋体"/>
          <w:b w:val="0"/>
          <w:bCs w:val="0"/>
          <w:kern w:val="0"/>
          <w:sz w:val="20"/>
          <w:szCs w:val="20"/>
          <w:lang w:val="en-US" w:eastAsia="zh-CN" w:bidi="ar-SA"/>
        </w:rPr>
        <w:t>开发、</w:t>
      </w:r>
      <w:r>
        <w:rPr>
          <w:rFonts w:hint="eastAsia" w:ascii="宋体" w:hAnsi="宋体" w:eastAsia="宋体" w:cs="宋体"/>
          <w:b w:val="0"/>
          <w:bCs w:val="0"/>
          <w:kern w:val="0"/>
          <w:sz w:val="20"/>
          <w:szCs w:val="20"/>
          <w:lang w:val="en-US" w:eastAsia="zh-CN" w:bidi="ar-SA"/>
        </w:rPr>
        <w:t>安置</w:t>
      </w:r>
      <w:r>
        <w:rPr>
          <w:rFonts w:hint="eastAsia" w:ascii="宋体" w:hAnsi="宋体" w:cs="宋体"/>
          <w:b w:val="0"/>
          <w:bCs w:val="0"/>
          <w:kern w:val="0"/>
          <w:sz w:val="20"/>
          <w:szCs w:val="20"/>
          <w:lang w:val="en-US" w:eastAsia="zh-CN" w:bidi="ar-SA"/>
        </w:rPr>
        <w:t>东区</w:t>
      </w:r>
      <w:r>
        <w:rPr>
          <w:rFonts w:hint="eastAsia" w:ascii="宋体" w:hAnsi="宋体" w:eastAsia="宋体" w:cs="宋体"/>
          <w:b w:val="0"/>
          <w:bCs w:val="0"/>
          <w:kern w:val="0"/>
          <w:sz w:val="20"/>
          <w:szCs w:val="20"/>
          <w:lang w:val="en-US" w:eastAsia="zh-CN" w:bidi="ar-SA"/>
        </w:rPr>
        <w:t>共用宗，DK-2-1、DK-3-1作为安置地块（合并为一块地作为安置</w:t>
      </w:r>
      <w:r>
        <w:rPr>
          <w:rFonts w:hint="eastAsia" w:ascii="宋体" w:hAnsi="宋体" w:cs="宋体"/>
          <w:b w:val="0"/>
          <w:bCs w:val="0"/>
          <w:kern w:val="0"/>
          <w:sz w:val="20"/>
          <w:szCs w:val="20"/>
          <w:lang w:val="en-US" w:eastAsia="zh-CN" w:bidi="ar-SA"/>
        </w:rPr>
        <w:t>西</w:t>
      </w:r>
      <w:r>
        <w:rPr>
          <w:rFonts w:hint="eastAsia" w:ascii="宋体" w:hAnsi="宋体" w:eastAsia="宋体" w:cs="宋体"/>
          <w:b w:val="0"/>
          <w:bCs w:val="0"/>
          <w:kern w:val="0"/>
          <w:sz w:val="20"/>
          <w:szCs w:val="20"/>
          <w:lang w:val="en-US" w:eastAsia="zh-CN" w:bidi="ar-SA"/>
        </w:rPr>
        <w:t>区），DK-2-2、DK-2-3、DK-3-2作为项目三宗商业地。为加快推进“保回迁”项目安置住宅用地供应工作，项目实施主体申请对DK-1进行分宗，将DK-1分为两宗地。上述调整完后，整个项目分为一期</w:t>
      </w:r>
      <w:r>
        <w:rPr>
          <w:rFonts w:hint="eastAsia" w:ascii="宋体" w:hAnsi="宋体" w:cs="宋体"/>
          <w:b w:val="0"/>
          <w:bCs w:val="0"/>
          <w:kern w:val="0"/>
          <w:sz w:val="20"/>
          <w:szCs w:val="20"/>
          <w:lang w:val="en-US" w:eastAsia="zh-CN" w:bidi="ar-SA"/>
        </w:rPr>
        <w:t>（包含安置东区）</w:t>
      </w:r>
      <w:r>
        <w:rPr>
          <w:rFonts w:hint="eastAsia" w:ascii="宋体" w:hAnsi="宋体" w:eastAsia="宋体" w:cs="宋体"/>
          <w:b w:val="0"/>
          <w:bCs w:val="0"/>
          <w:kern w:val="0"/>
          <w:sz w:val="20"/>
          <w:szCs w:val="20"/>
          <w:lang w:val="en-US" w:eastAsia="zh-CN" w:bidi="ar-SA"/>
        </w:rPr>
        <w:t>、二期及安置</w:t>
      </w:r>
      <w:r>
        <w:rPr>
          <w:rFonts w:hint="eastAsia" w:ascii="宋体" w:hAnsi="宋体" w:cs="宋体"/>
          <w:b w:val="0"/>
          <w:bCs w:val="0"/>
          <w:kern w:val="0"/>
          <w:sz w:val="20"/>
          <w:szCs w:val="20"/>
          <w:lang w:val="en-US" w:eastAsia="zh-CN" w:bidi="ar-SA"/>
        </w:rPr>
        <w:t>西</w:t>
      </w:r>
      <w:r>
        <w:rPr>
          <w:rFonts w:hint="eastAsia" w:ascii="宋体" w:hAnsi="宋体" w:eastAsia="宋体" w:cs="宋体"/>
          <w:b w:val="0"/>
          <w:bCs w:val="0"/>
          <w:kern w:val="0"/>
          <w:sz w:val="20"/>
          <w:szCs w:val="20"/>
          <w:lang w:val="en-US" w:eastAsia="zh-CN" w:bidi="ar-SA"/>
        </w:rPr>
        <w:t>区</w:t>
      </w:r>
      <w:r>
        <w:rPr>
          <w:rFonts w:hint="eastAsia" w:ascii="宋体" w:hAnsi="宋体" w:cs="宋体"/>
          <w:b w:val="0"/>
          <w:bCs w:val="0"/>
          <w:kern w:val="0"/>
          <w:sz w:val="20"/>
          <w:szCs w:val="20"/>
          <w:lang w:val="en-US" w:eastAsia="zh-CN" w:bidi="ar-SA"/>
        </w:rPr>
        <w:t>及商业地块</w:t>
      </w:r>
      <w:r>
        <w:rPr>
          <w:rFonts w:hint="eastAsia" w:ascii="宋体" w:hAnsi="宋体" w:eastAsia="宋体" w:cs="宋体"/>
          <w:b w:val="0"/>
          <w:bCs w:val="0"/>
          <w:kern w:val="0"/>
          <w:sz w:val="20"/>
          <w:szCs w:val="20"/>
          <w:lang w:val="en-US" w:eastAsia="zh-CN" w:bidi="ar-SA"/>
        </w:rPr>
        <w:t>。具体如图所示：</w:t>
      </w:r>
      <w:r>
        <w:drawing>
          <wp:inline distT="0" distB="0" distL="114300" distR="114300">
            <wp:extent cx="5267960" cy="3759200"/>
            <wp:effectExtent l="0" t="0" r="8890" b="1270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0"/>
                    <a:stretch>
                      <a:fillRect/>
                    </a:stretch>
                  </pic:blipFill>
                  <pic:spPr>
                    <a:xfrm>
                      <a:off x="0" y="0"/>
                      <a:ext cx="5267960" cy="3759200"/>
                    </a:xfrm>
                    <a:prstGeom prst="rect">
                      <a:avLst/>
                    </a:prstGeom>
                    <a:noFill/>
                    <a:ln>
                      <a:noFill/>
                    </a:ln>
                  </pic:spPr>
                </pic:pic>
              </a:graphicData>
            </a:graphic>
          </wp:inline>
        </w:drawing>
      </w:r>
    </w:p>
    <w:p w14:paraId="6C87C789">
      <w:pPr>
        <w:pStyle w:val="5"/>
        <w:numPr>
          <w:ilvl w:val="0"/>
          <w:numId w:val="0"/>
        </w:numPr>
        <w:ind w:firstLine="400" w:firstLineChars="200"/>
        <w:rPr>
          <w:rFonts w:hint="eastAsia" w:ascii="宋体" w:hAnsi="宋体" w:eastAsia="宋体" w:cs="宋体"/>
          <w:b w:val="0"/>
          <w:bCs w:val="0"/>
          <w:kern w:val="0"/>
          <w:sz w:val="20"/>
          <w:szCs w:val="20"/>
          <w:lang w:val="en-US" w:eastAsia="zh-CN" w:bidi="ar-SA"/>
        </w:rPr>
      </w:pPr>
      <w:r>
        <w:rPr>
          <w:rFonts w:hint="eastAsia" w:ascii="宋体" w:hAnsi="宋体" w:eastAsia="宋体" w:cs="宋体"/>
          <w:b w:val="0"/>
          <w:bCs w:val="0"/>
          <w:kern w:val="0"/>
          <w:sz w:val="20"/>
          <w:szCs w:val="20"/>
          <w:lang w:val="en-US" w:eastAsia="zh-CN" w:bidi="ar-SA"/>
        </w:rPr>
        <w:t>项目一期北边为安置部分，剩余部分为开发部分，目前一期</w:t>
      </w:r>
      <w:r>
        <w:rPr>
          <w:rFonts w:hint="eastAsia" w:ascii="宋体" w:hAnsi="宋体" w:cs="宋体"/>
          <w:b w:val="0"/>
          <w:bCs w:val="0"/>
          <w:kern w:val="0"/>
          <w:sz w:val="20"/>
          <w:szCs w:val="20"/>
          <w:lang w:val="en-US" w:eastAsia="zh-CN" w:bidi="ar-SA"/>
        </w:rPr>
        <w:t>开发部分已完成挂地并竞得</w:t>
      </w:r>
      <w:r>
        <w:rPr>
          <w:rFonts w:hint="eastAsia" w:ascii="宋体" w:hAnsi="宋体" w:eastAsia="宋体" w:cs="宋体"/>
          <w:b w:val="0"/>
          <w:bCs w:val="0"/>
          <w:kern w:val="0"/>
          <w:sz w:val="20"/>
          <w:szCs w:val="20"/>
          <w:lang w:val="en-US" w:eastAsia="zh-CN" w:bidi="ar-SA"/>
        </w:rPr>
        <w:t>；二期正在进行拆除工作；安置西区已全部拆除，目前“四证”齐全，正在进行安置楼</w:t>
      </w:r>
      <w:r>
        <w:rPr>
          <w:rFonts w:hint="eastAsia" w:ascii="宋体" w:hAnsi="宋体" w:cs="宋体"/>
          <w:b w:val="0"/>
          <w:bCs w:val="0"/>
          <w:kern w:val="0"/>
          <w:sz w:val="20"/>
          <w:szCs w:val="20"/>
          <w:lang w:val="en-US" w:eastAsia="zh-CN" w:bidi="ar-SA"/>
        </w:rPr>
        <w:t>二次结构施工建设</w:t>
      </w:r>
      <w:r>
        <w:rPr>
          <w:rFonts w:hint="eastAsia" w:ascii="宋体" w:hAnsi="宋体" w:eastAsia="宋体" w:cs="宋体"/>
          <w:b w:val="0"/>
          <w:bCs w:val="0"/>
          <w:kern w:val="0"/>
          <w:sz w:val="20"/>
          <w:szCs w:val="20"/>
          <w:lang w:val="en-US" w:eastAsia="zh-CN" w:bidi="ar-SA"/>
        </w:rPr>
        <w:t>。三块商业地拆除完成</w:t>
      </w:r>
      <w:r>
        <w:rPr>
          <w:rFonts w:hint="eastAsia" w:ascii="宋体" w:hAnsi="宋体" w:cs="宋体"/>
          <w:b w:val="0"/>
          <w:bCs w:val="0"/>
          <w:kern w:val="0"/>
          <w:sz w:val="20"/>
          <w:szCs w:val="20"/>
          <w:lang w:val="en-US" w:eastAsia="zh-CN" w:bidi="ar-SA"/>
        </w:rPr>
        <w:t>二</w:t>
      </w:r>
      <w:r>
        <w:rPr>
          <w:rFonts w:hint="eastAsia" w:ascii="宋体" w:hAnsi="宋体" w:eastAsia="宋体" w:cs="宋体"/>
          <w:b w:val="0"/>
          <w:bCs w:val="0"/>
          <w:kern w:val="0"/>
          <w:sz w:val="20"/>
          <w:szCs w:val="20"/>
          <w:lang w:val="en-US" w:eastAsia="zh-CN" w:bidi="ar-SA"/>
        </w:rPr>
        <w:t>块，</w:t>
      </w:r>
      <w:r>
        <w:rPr>
          <w:rFonts w:hint="eastAsia" w:ascii="宋体" w:hAnsi="宋体" w:cs="宋体"/>
          <w:b w:val="0"/>
          <w:bCs w:val="0"/>
          <w:kern w:val="0"/>
          <w:sz w:val="20"/>
          <w:szCs w:val="20"/>
          <w:lang w:val="en-US" w:eastAsia="zh-CN" w:bidi="ar-SA"/>
        </w:rPr>
        <w:t>剩余1块</w:t>
      </w:r>
      <w:r>
        <w:rPr>
          <w:rFonts w:hint="eastAsia" w:ascii="宋体" w:hAnsi="宋体" w:eastAsia="宋体" w:cs="宋体"/>
          <w:b w:val="0"/>
          <w:bCs w:val="0"/>
          <w:kern w:val="0"/>
          <w:sz w:val="20"/>
          <w:szCs w:val="20"/>
          <w:lang w:val="en-US" w:eastAsia="zh-CN" w:bidi="ar-SA"/>
        </w:rPr>
        <w:t>未拆除。</w:t>
      </w:r>
    </w:p>
    <w:p w14:paraId="0FCC37DE">
      <w:pPr>
        <w:pStyle w:val="5"/>
        <w:numPr>
          <w:ilvl w:val="0"/>
          <w:numId w:val="0"/>
        </w:numPr>
        <w:ind w:firstLine="420" w:firstLineChars="200"/>
        <w:rPr>
          <w:rFonts w:hint="default"/>
          <w:lang w:val="en-US" w:eastAsia="zh-CN"/>
        </w:rPr>
      </w:pPr>
      <w:r>
        <w:rPr>
          <w:rFonts w:hint="eastAsia"/>
          <w:lang w:val="en-US" w:eastAsia="zh-CN"/>
        </w:rPr>
        <w:t>（4）项目一期开发地块经济技术指标及货值情况</w:t>
      </w:r>
    </w:p>
    <w:p w14:paraId="67B0B5F6">
      <w:pPr>
        <w:widowControl/>
        <w:jc w:val="center"/>
        <w:rPr>
          <w:rFonts w:hint="eastAsia" w:ascii="宋体" w:hAnsi="宋体" w:eastAsia="宋体" w:cs="宋体"/>
          <w:kern w:val="0"/>
          <w:sz w:val="20"/>
          <w:szCs w:val="20"/>
          <w:lang w:val="en-US" w:eastAsia="zh-CN"/>
        </w:rPr>
      </w:pPr>
      <w:r>
        <w:drawing>
          <wp:inline distT="0" distB="0" distL="114300" distR="114300">
            <wp:extent cx="5140960" cy="2011045"/>
            <wp:effectExtent l="0" t="0" r="2540" b="825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tretch>
                      <a:fillRect/>
                    </a:stretch>
                  </pic:blipFill>
                  <pic:spPr>
                    <a:xfrm>
                      <a:off x="0" y="0"/>
                      <a:ext cx="5140960" cy="2011045"/>
                    </a:xfrm>
                    <a:prstGeom prst="rect">
                      <a:avLst/>
                    </a:prstGeom>
                    <a:noFill/>
                    <a:ln w="9525">
                      <a:noFill/>
                    </a:ln>
                  </pic:spPr>
                </pic:pic>
              </a:graphicData>
            </a:graphic>
          </wp:inline>
        </w:drawing>
      </w:r>
    </w:p>
    <w:p w14:paraId="5E74DAA5">
      <w:pPr>
        <w:pStyle w:val="5"/>
        <w:numPr>
          <w:ilvl w:val="0"/>
          <w:numId w:val="0"/>
        </w:numPr>
        <w:ind w:firstLine="400" w:firstLineChars="200"/>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根据上表，桃园三坊项目旧楼拆除比已完成80%；未来将分两期开发建设，其中一期为</w:t>
      </w:r>
      <w:r>
        <w:rPr>
          <w:rFonts w:hint="eastAsia" w:ascii="宋体" w:hAnsi="宋体" w:cs="宋体"/>
          <w:kern w:val="0"/>
          <w:sz w:val="20"/>
          <w:szCs w:val="20"/>
          <w:lang w:val="en-US" w:eastAsia="zh-CN"/>
        </w:rPr>
        <w:t>开发、</w:t>
      </w:r>
      <w:r>
        <w:rPr>
          <w:rFonts w:hint="eastAsia" w:ascii="宋体" w:hAnsi="宋体" w:eastAsia="宋体" w:cs="宋体"/>
          <w:kern w:val="0"/>
          <w:sz w:val="20"/>
          <w:szCs w:val="20"/>
          <w:lang w:val="en-US" w:eastAsia="zh-CN"/>
        </w:rPr>
        <w:t>安置共用宗，二期为纯开发地块</w:t>
      </w:r>
      <w:r>
        <w:rPr>
          <w:rFonts w:hint="eastAsia" w:ascii="宋体" w:hAnsi="宋体" w:cs="宋体"/>
          <w:kern w:val="0"/>
          <w:sz w:val="20"/>
          <w:szCs w:val="20"/>
          <w:lang w:val="en-US" w:eastAsia="zh-CN"/>
        </w:rPr>
        <w:t>，剩余为沿街商业</w:t>
      </w:r>
      <w:r>
        <w:rPr>
          <w:rFonts w:hint="eastAsia" w:ascii="宋体" w:hAnsi="宋体" w:eastAsia="宋体" w:cs="宋体"/>
          <w:kern w:val="0"/>
          <w:sz w:val="20"/>
          <w:szCs w:val="20"/>
          <w:lang w:val="en-US" w:eastAsia="zh-CN"/>
        </w:rPr>
        <w:t>。</w:t>
      </w:r>
    </w:p>
    <w:p w14:paraId="4B810239">
      <w:pPr>
        <w:pStyle w:val="5"/>
        <w:numPr>
          <w:ilvl w:val="0"/>
          <w:numId w:val="0"/>
        </w:numPr>
        <w:ind w:firstLine="400" w:firstLineChars="200"/>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桃园三坊开发部分可售面积共计147007.00㎡，其中住宅128237.36㎡、商业18769.64㎡，可售车位</w:t>
      </w:r>
      <w:r>
        <w:rPr>
          <w:rFonts w:hint="eastAsia" w:ascii="宋体" w:hAnsi="宋体" w:cs="宋体"/>
          <w:kern w:val="0"/>
          <w:sz w:val="20"/>
          <w:szCs w:val="20"/>
          <w:lang w:val="en-US" w:eastAsia="zh-CN"/>
        </w:rPr>
        <w:t>2051</w:t>
      </w:r>
      <w:r>
        <w:rPr>
          <w:rFonts w:hint="eastAsia" w:ascii="宋体" w:hAnsi="宋体" w:eastAsia="宋体" w:cs="宋体"/>
          <w:kern w:val="0"/>
          <w:sz w:val="20"/>
          <w:szCs w:val="20"/>
          <w:lang w:val="en-US" w:eastAsia="zh-CN"/>
        </w:rPr>
        <w:t>个。预估住宅销售单价（四代住宅）</w:t>
      </w:r>
      <w:r>
        <w:rPr>
          <w:rFonts w:hint="eastAsia" w:ascii="宋体" w:hAnsi="宋体" w:cs="宋体"/>
          <w:kern w:val="0"/>
          <w:sz w:val="20"/>
          <w:szCs w:val="20"/>
          <w:lang w:val="en-US" w:eastAsia="zh-CN"/>
        </w:rPr>
        <w:t>1.8</w:t>
      </w:r>
      <w:r>
        <w:rPr>
          <w:rFonts w:hint="eastAsia" w:ascii="宋体" w:hAnsi="宋体" w:eastAsia="宋体" w:cs="宋体"/>
          <w:kern w:val="0"/>
          <w:sz w:val="20"/>
          <w:szCs w:val="20"/>
          <w:lang w:val="en-US" w:eastAsia="zh-CN"/>
        </w:rPr>
        <w:t>万元/㎡，商业销售单价2.5万/㎡，车位销售单价16万/个，预估项目开发部分货值为</w:t>
      </w:r>
      <w:r>
        <w:rPr>
          <w:rFonts w:hint="eastAsia" w:ascii="宋体" w:hAnsi="宋体" w:cs="宋体"/>
          <w:kern w:val="0"/>
          <w:sz w:val="20"/>
          <w:szCs w:val="20"/>
          <w:lang w:val="en-US" w:eastAsia="zh-CN"/>
        </w:rPr>
        <w:t>31.09</w:t>
      </w:r>
      <w:r>
        <w:rPr>
          <w:rFonts w:hint="eastAsia" w:ascii="宋体" w:hAnsi="宋体" w:eastAsia="宋体" w:cs="宋体"/>
          <w:kern w:val="0"/>
          <w:sz w:val="20"/>
          <w:szCs w:val="20"/>
          <w:lang w:val="en-US" w:eastAsia="zh-CN"/>
        </w:rPr>
        <w:t>亿元。</w:t>
      </w:r>
    </w:p>
    <w:p w14:paraId="04F838B4">
      <w:pPr>
        <w:pStyle w:val="5"/>
        <w:rPr>
          <w:rFonts w:hint="eastAsia"/>
          <w:lang w:val="en-US" w:eastAsia="zh-CN"/>
        </w:rPr>
      </w:pPr>
      <w:r>
        <w:rPr>
          <w:rFonts w:hint="eastAsia" w:ascii="宋体" w:hAnsi="宋体" w:eastAsia="宋体" w:cs="宋体"/>
          <w:b/>
          <w:bCs/>
          <w:kern w:val="0"/>
          <w:sz w:val="20"/>
          <w:szCs w:val="20"/>
          <w:lang w:val="en-US" w:eastAsia="zh-CN"/>
        </w:rPr>
        <w:t>综上，项目整体货值为</w:t>
      </w:r>
      <w:r>
        <w:rPr>
          <w:rFonts w:hint="eastAsia" w:ascii="宋体" w:hAnsi="宋体" w:cs="宋体"/>
          <w:b/>
          <w:bCs/>
          <w:kern w:val="0"/>
          <w:sz w:val="20"/>
          <w:szCs w:val="20"/>
          <w:lang w:val="en-US" w:eastAsia="zh-CN"/>
        </w:rPr>
        <w:t>31.09</w:t>
      </w:r>
      <w:r>
        <w:rPr>
          <w:rFonts w:hint="eastAsia" w:ascii="宋体" w:hAnsi="宋体" w:eastAsia="宋体" w:cs="宋体"/>
          <w:b/>
          <w:bCs/>
          <w:kern w:val="0"/>
          <w:sz w:val="20"/>
          <w:szCs w:val="20"/>
          <w:lang w:val="en-US" w:eastAsia="zh-CN"/>
        </w:rPr>
        <w:t>亿元，其中</w:t>
      </w:r>
      <w:r>
        <w:rPr>
          <w:rFonts w:hint="eastAsia"/>
          <w:b/>
          <w:bCs/>
          <w:lang w:val="en-US" w:eastAsia="zh-CN"/>
        </w:rPr>
        <w:t>一期货值13.03亿元。</w:t>
      </w:r>
    </w:p>
    <w:p w14:paraId="14D5E1EA">
      <w:pPr>
        <w:pStyle w:val="5"/>
        <w:numPr>
          <w:ilvl w:val="0"/>
          <w:numId w:val="0"/>
        </w:numPr>
        <w:ind w:leftChars="200"/>
        <w:rPr>
          <w:rFonts w:hint="eastAsia"/>
          <w:lang w:val="en-US" w:eastAsia="zh-CN"/>
        </w:rPr>
      </w:pPr>
      <w:r>
        <w:rPr>
          <w:rFonts w:hint="eastAsia"/>
          <w:lang w:val="en-US" w:eastAsia="zh-CN"/>
        </w:rPr>
        <w:t>（5）项目一期开发地块投资情况</w:t>
      </w:r>
    </w:p>
    <w:p w14:paraId="1F1846DF">
      <w:pPr>
        <w:pStyle w:val="5"/>
        <w:numPr>
          <w:ilvl w:val="0"/>
          <w:numId w:val="0"/>
        </w:numPr>
        <w:jc w:val="center"/>
        <w:rPr>
          <w:rFonts w:hint="default"/>
          <w:lang w:val="en-US" w:eastAsia="zh-CN"/>
        </w:rPr>
      </w:pPr>
      <w:r>
        <w:drawing>
          <wp:inline distT="0" distB="0" distL="114300" distR="114300">
            <wp:extent cx="3007360" cy="3083560"/>
            <wp:effectExtent l="0" t="0" r="2540" b="25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2"/>
                    <a:stretch>
                      <a:fillRect/>
                    </a:stretch>
                  </pic:blipFill>
                  <pic:spPr>
                    <a:xfrm>
                      <a:off x="0" y="0"/>
                      <a:ext cx="3007360" cy="3083560"/>
                    </a:xfrm>
                    <a:prstGeom prst="rect">
                      <a:avLst/>
                    </a:prstGeom>
                    <a:noFill/>
                    <a:ln>
                      <a:noFill/>
                    </a:ln>
                  </pic:spPr>
                </pic:pic>
              </a:graphicData>
            </a:graphic>
          </wp:inline>
        </w:drawing>
      </w:r>
    </w:p>
    <w:p w14:paraId="0B958185">
      <w:pPr>
        <w:pStyle w:val="5"/>
        <w:ind w:left="0" w:leftChars="0" w:firstLine="400" w:firstLineChars="200"/>
        <w:rPr>
          <w:rFonts w:hint="eastAsia" w:ascii="宋体" w:hAnsi="宋体" w:cs="宋体"/>
          <w:kern w:val="0"/>
          <w:sz w:val="20"/>
          <w:szCs w:val="20"/>
          <w:lang w:val="en-US" w:eastAsia="zh-CN"/>
        </w:rPr>
      </w:pPr>
      <w:r>
        <w:rPr>
          <w:rFonts w:hint="eastAsia" w:ascii="宋体" w:hAnsi="宋体" w:eastAsia="宋体" w:cs="宋体"/>
          <w:kern w:val="0"/>
          <w:sz w:val="20"/>
          <w:szCs w:val="20"/>
          <w:lang w:val="en-US" w:eastAsia="zh-CN"/>
        </w:rPr>
        <w:t>根据上表，由开发地块土建成本</w:t>
      </w:r>
      <w:r>
        <w:rPr>
          <w:rFonts w:hint="eastAsia" w:ascii="宋体" w:hAnsi="宋体" w:cs="宋体"/>
          <w:kern w:val="0"/>
          <w:sz w:val="20"/>
          <w:szCs w:val="20"/>
          <w:lang w:val="en-US" w:eastAsia="zh-CN"/>
        </w:rPr>
        <w:t>、期间三费和税费</w:t>
      </w:r>
      <w:r>
        <w:rPr>
          <w:rFonts w:hint="eastAsia" w:ascii="宋体" w:hAnsi="宋体" w:eastAsia="宋体" w:cs="宋体"/>
          <w:kern w:val="0"/>
          <w:sz w:val="20"/>
          <w:szCs w:val="20"/>
          <w:lang w:val="en-US" w:eastAsia="zh-CN"/>
        </w:rPr>
        <w:t>构成，</w:t>
      </w:r>
      <w:r>
        <w:rPr>
          <w:rFonts w:hint="eastAsia" w:ascii="宋体" w:hAnsi="宋体" w:cs="宋体"/>
          <w:kern w:val="0"/>
          <w:sz w:val="20"/>
          <w:szCs w:val="20"/>
          <w:lang w:val="en-US" w:eastAsia="zh-CN"/>
        </w:rPr>
        <w:t>投资</w:t>
      </w:r>
      <w:r>
        <w:rPr>
          <w:rFonts w:hint="eastAsia" w:ascii="宋体" w:hAnsi="宋体" w:eastAsia="宋体" w:cs="宋体"/>
          <w:kern w:val="0"/>
          <w:sz w:val="20"/>
          <w:szCs w:val="20"/>
          <w:lang w:val="en-US" w:eastAsia="zh-CN"/>
        </w:rPr>
        <w:t>金额</w:t>
      </w:r>
      <w:r>
        <w:rPr>
          <w:rFonts w:hint="eastAsia" w:ascii="宋体" w:hAnsi="宋体" w:cs="宋体"/>
          <w:kern w:val="0"/>
          <w:sz w:val="20"/>
          <w:szCs w:val="20"/>
          <w:lang w:val="en-US" w:eastAsia="zh-CN"/>
        </w:rPr>
        <w:t>11.07</w:t>
      </w:r>
      <w:r>
        <w:rPr>
          <w:rFonts w:hint="eastAsia" w:ascii="宋体" w:hAnsi="宋体" w:eastAsia="宋体" w:cs="宋体"/>
          <w:kern w:val="0"/>
          <w:sz w:val="20"/>
          <w:szCs w:val="20"/>
          <w:lang w:val="en-US" w:eastAsia="zh-CN"/>
        </w:rPr>
        <w:t>亿元，</w:t>
      </w:r>
      <w:r>
        <w:rPr>
          <w:rFonts w:hint="eastAsia" w:ascii="宋体" w:hAnsi="宋体" w:cs="宋体"/>
          <w:kern w:val="0"/>
          <w:sz w:val="20"/>
          <w:szCs w:val="20"/>
          <w:lang w:val="en-US" w:eastAsia="zh-CN"/>
        </w:rPr>
        <w:t>其中土地款（含契税）3.89亿元，建安费用3.39亿元，税费合计约2.5亿元。</w:t>
      </w:r>
    </w:p>
    <w:p w14:paraId="63C899B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AF192D"/>
    <w:multiLevelType w:val="singleLevel"/>
    <w:tmpl w:val="8BAF192D"/>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3F526BD"/>
    <w:rsid w:val="11B157D7"/>
    <w:rsid w:val="182D3F1F"/>
    <w:rsid w:val="190B0927"/>
    <w:rsid w:val="1971768B"/>
    <w:rsid w:val="2A503937"/>
    <w:rsid w:val="2A9767DF"/>
    <w:rsid w:val="48CA7475"/>
    <w:rsid w:val="61254A56"/>
    <w:rsid w:val="70CA60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3"/>
    <w:basedOn w:val="1"/>
    <w:next w:val="1"/>
    <w:unhideWhenUsed/>
    <w:qFormat/>
    <w:uiPriority w:val="9"/>
    <w:pPr>
      <w:keepNext/>
      <w:keepLines/>
      <w:spacing w:before="260" w:after="260" w:line="416" w:lineRule="auto"/>
      <w:outlineLvl w:val="2"/>
    </w:pPr>
    <w:rPr>
      <w:rFonts w:ascii="Calibri" w:hAnsi="Calibri"/>
      <w:b/>
      <w:bCs/>
      <w:sz w:val="32"/>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4">
    <w:name w:val="Body Text Indent"/>
    <w:basedOn w:val="1"/>
    <w:qFormat/>
    <w:uiPriority w:val="0"/>
    <w:pPr>
      <w:spacing w:line="300" w:lineRule="auto"/>
      <w:ind w:firstLine="480"/>
    </w:pPr>
    <w:rPr>
      <w:szCs w:val="20"/>
    </w:rPr>
  </w:style>
  <w:style w:type="paragraph" w:styleId="5">
    <w:name w:val="Body Text First Indent 2"/>
    <w:basedOn w:val="4"/>
    <w:unhideWhenUsed/>
    <w:qFormat/>
    <w:uiPriority w:val="99"/>
    <w:pPr>
      <w:ind w:firstLine="420" w:firstLineChars="200"/>
    </w:p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2645</Words>
  <Characters>2985</Characters>
  <Lines>0</Lines>
  <Paragraphs>0</Paragraphs>
  <TotalTime>253</TotalTime>
  <ScaleCrop>false</ScaleCrop>
  <LinksUpToDate>false</LinksUpToDate>
  <CharactersWithSpaces>2986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2025-05-23T12:17:00Z</dcterms:created>
  <dc:creator>PC</dc:creator>
  <cp:lastModifiedBy>自由</cp:lastModifiedBy>
  <dcterms:modified xsi:type="dcterms:W3CDTF">2026-03-10T07:10:38Z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eyJoZGlkIjoiZDg1NDg2NjkzNjdkMTk0MjNlYzQ5NzdjOGEyNmIyNzciLCJ1c2VySWQiOiIzMzU3MTU2ODcifQ==</vt:lpwstr>
  </property>
  <property fmtid="{D5CDD505-2E9C-101B-9397-08002B2CF9AE}" pid="4" name="ICV">
    <vt:lpwstr>89117D0D416B40CCA4D86164BF520ED7_12</vt:lpwstr>
  </property>
</Properties>
</file>