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jc w:val="center"/>
        <w:rPr>
          <w:b w:val="1"/>
          <w:sz w:val="48"/>
          <w:bCs/>
          <w:rFonts w:hint="eastAsia"/>
        </w:rPr>
      </w:pPr>
      <w:r>
        <w:rPr>
          <w:b w:val="1"/>
          <w:sz w:val="48"/>
          <w:bCs/>
          <w:rFonts w:hint="eastAsia"/>
        </w:rPr>
      </w:r>
    </w:p>
    <w:p>
      <w:pPr>
        <w:pStyle w:val="Normal"/>
        <w:jc w:val="center"/>
        <w:rPr>
          <w:b w:val="1"/>
          <w:sz w:val="44"/>
          <w:szCs w:val="44"/>
          <w:bCs/>
          <w:rFonts w:hint="eastAsia"/>
        </w:rPr>
      </w:pPr>
      <w:r>
        <w:rPr>
          <w:b w:val="1"/>
          <w:sz w:val="44"/>
          <w:szCs w:val="44"/>
          <w:bCs/>
          <w:rFonts w:hint="eastAsia"/>
        </w:rPr>
        <w:t xml:space="preserve">个人简介</w:t>
      </w:r>
      <w:r>
        <w:rPr>
          <w:b w:val="1"/>
          <w:sz w:val="44"/>
          <w:szCs w:val="44"/>
          <w:bCs/>
          <w:rFonts w:hint="eastAsia"/>
        </w:rPr>
      </w:r>
    </w:p>
    <w:p>
      <w:pPr>
        <w:pStyle w:val="Normal"/>
        <w:rPr>
          <w:b w:val="1"/>
          <w:sz w:val="32"/>
          <w:bCs/>
          <w:rFonts w:hint="eastAsia"/>
        </w:rPr>
      </w:pPr>
      <w:r>
        <w:rPr>
          <w:b w:val="1"/>
          <w:sz w:val="32"/>
          <w:bCs/>
          <w:rFonts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2000年10月30日魏杰与广西桂盛房地产有限责任公司合作成立</w:t>
      </w:r>
      <w:bookmarkStart w:id="0" w:name="OLE_LINK6"/>
      <w:r>
        <w:rPr>
          <w:sz w:val="30"/>
          <w:szCs w:val="30"/>
          <w:rFonts w:ascii="仿宋" w:hAnsi="仿宋" w:eastAsia="仿宋" w:hint="eastAsia"/>
        </w:rPr>
        <w:t xml:space="preserve">南宁大自然花园置业有限公司</w:t>
      </w:r>
      <w:bookmarkEnd w:id="0"/>
      <w:r>
        <w:rPr>
          <w:sz w:val="30"/>
          <w:szCs w:val="30"/>
          <w:rFonts w:ascii="仿宋" w:hAnsi="仿宋" w:eastAsia="仿宋" w:hint="eastAsia"/>
        </w:rPr>
        <w:t xml:space="preserve">（以下简称大自然公司）。桂盛公司占注册资本51%股权，魏杰占注册资本49%股权，并担任公司法人暨实际运营负责人。</w:t>
      </w:r>
      <w:r>
        <w:rPr>
          <w:sz w:val="30"/>
          <w:szCs w:val="30"/>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这种股权结构保证了决策的效率与集中，魏杰是全公司项目开发与运营的核心人物，其丰富的行业经验、精准的市场判断力和卓越的管理才能，是公司打造的“南宁大自然花园”项目得以成功的根本保障。</w:t>
      </w:r>
      <w:r>
        <w:rPr>
          <w:sz w:val="30"/>
          <w:szCs w:val="30"/>
          <w:rFonts w:ascii="仿宋" w:hAnsi="仿宋" w:eastAsia="仿宋" w:hint="eastAsia"/>
        </w:rPr>
      </w:r>
    </w:p>
    <w:p>
      <w:pPr>
        <w:pStyle w:val="Normal"/>
        <w:tabs>
          <w:tab w:val="left" w:pos="720"/>
        </w:tabs>
        <w:spacing w:line="360" w:lineRule="auto"/>
        <w:rPr>
          <w:b w:val="1"/>
          <w:sz w:val="30"/>
          <w:szCs w:val="30"/>
          <w:rFonts w:ascii="仿宋" w:hAnsi="仿宋" w:eastAsia="仿宋" w:hint="eastAsia"/>
        </w:rPr>
      </w:pPr>
      <w:r>
        <w:rPr>
          <w:b w:val="1"/>
          <w:sz w:val="30"/>
          <w:szCs w:val="30"/>
          <w:rFonts w:ascii="仿宋" w:hAnsi="仿宋" w:eastAsia="仿宋" w:hint="eastAsia"/>
        </w:rPr>
        <w:t xml:space="preserve">一、标杆项目铸就辉煌，地理优势得天独厚。</w:t>
      </w:r>
      <w:r>
        <w:rPr>
          <w:b w:val="1"/>
          <w:sz w:val="30"/>
          <w:szCs w:val="30"/>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 </w:t>
      </w:r>
      <w:bookmarkStart w:id="1" w:name="OLE_LINK1"/>
      <w:bookmarkStart w:id="2" w:name="OLE_LINK2"/>
      <w:r>
        <w:rPr>
          <w:sz w:val="30"/>
          <w:szCs w:val="30"/>
          <w:rFonts w:ascii="仿宋" w:hAnsi="仿宋" w:eastAsia="仿宋" w:hint="eastAsia"/>
        </w:rPr>
        <w:t xml:space="preserve">公司打造的“南宁大自然花园”</w:t>
      </w:r>
      <w:bookmarkEnd w:id="1"/>
      <w:bookmarkEnd w:id="2"/>
      <w:r>
        <w:rPr>
          <w:sz w:val="30"/>
          <w:szCs w:val="30"/>
          <w:rFonts w:ascii="仿宋" w:hAnsi="仿宋" w:eastAsia="仿宋" w:hint="eastAsia"/>
        </w:rPr>
        <w:t xml:space="preserve">项目位于南宁市青秀区东盟商务区板块，民族大道南侧、凤岭南路北侧，市中心绝版地块，周边配套齐全、成熟、优质。</w:t>
      </w:r>
      <w:r>
        <w:rPr>
          <w:sz w:val="30"/>
          <w:szCs w:val="30"/>
          <w:rFonts w:ascii="仿宋" w:hAnsi="仿宋" w:eastAsia="仿宋" w:hint="eastAsia"/>
        </w:rPr>
      </w:r>
    </w:p>
    <w:p>
      <w:pPr>
        <w:pStyle w:val="Normal"/>
        <w:numPr>
          <w:ilvl w:val="0"/>
          <w:numId w:val="1"/>
        </w:numPr>
        <w:tabs>
          <w:tab w:val="left" w:pos="720"/>
        </w:tabs>
        <w:spacing w:line="360" w:lineRule="auto"/>
        <w:rPr>
          <w:sz w:val="30"/>
          <w:szCs w:val="30"/>
          <w:rFonts w:ascii="仿宋" w:hAnsi="仿宋" w:eastAsia="仿宋" w:hint="eastAsia"/>
        </w:rPr>
      </w:pPr>
      <w:r>
        <w:rPr>
          <w:sz w:val="30"/>
          <w:szCs w:val="30"/>
          <w:rFonts w:ascii="仿宋" w:hAnsi="仿宋" w:eastAsia="仿宋" w:hint="eastAsia"/>
        </w:rPr>
        <w:t xml:space="preserve">教育资源优越：名校越秀路小学+南宁市三美中学，满足一站式的学龄教育需求；</w:t>
      </w:r>
      <w:r>
        <w:rPr>
          <w:sz w:val="30"/>
          <w:szCs w:val="30"/>
          <w:rFonts w:ascii="仿宋" w:hAnsi="仿宋" w:eastAsia="仿宋" w:hint="eastAsia"/>
        </w:rPr>
      </w:r>
    </w:p>
    <w:p>
      <w:pPr>
        <w:pStyle w:val="Normal"/>
        <w:numPr>
          <w:ilvl w:val="0"/>
          <w:numId w:val="1"/>
        </w:numPr>
        <w:tabs>
          <w:tab w:val="left" w:pos="720"/>
        </w:tabs>
        <w:spacing w:line="360" w:lineRule="auto"/>
        <w:rPr>
          <w:sz w:val="30"/>
          <w:szCs w:val="30"/>
          <w:rFonts w:ascii="仿宋" w:hAnsi="仿宋" w:eastAsia="仿宋" w:hint="eastAsia"/>
        </w:rPr>
      </w:pPr>
      <w:r>
        <w:rPr>
          <w:sz w:val="30"/>
          <w:szCs w:val="30"/>
          <w:rFonts w:ascii="仿宋" w:hAnsi="仿宋" w:eastAsia="仿宋" w:hint="eastAsia"/>
        </w:rPr>
        <w:t xml:space="preserve">商业配套完善：万象城、航洋城、三祺广场、盛天地等几大商圈；</w:t>
      </w:r>
      <w:r>
        <w:rPr>
          <w:sz w:val="30"/>
          <w:szCs w:val="30"/>
          <w:rFonts w:ascii="仿宋" w:hAnsi="仿宋" w:eastAsia="仿宋" w:hint="eastAsia"/>
        </w:rPr>
      </w:r>
    </w:p>
    <w:p>
      <w:pPr>
        <w:pStyle w:val="Normal"/>
        <w:numPr>
          <w:ilvl w:val="0"/>
          <w:numId w:val="1"/>
        </w:numPr>
        <w:tabs>
          <w:tab w:val="left" w:pos="720"/>
        </w:tabs>
        <w:spacing w:line="360" w:lineRule="auto"/>
        <w:rPr>
          <w:sz w:val="30"/>
          <w:szCs w:val="30"/>
          <w:rFonts w:ascii="仿宋" w:hAnsi="仿宋" w:eastAsia="仿宋" w:hint="eastAsia"/>
        </w:rPr>
      </w:pPr>
      <w:r>
        <w:rPr>
          <w:sz w:val="30"/>
          <w:szCs w:val="30"/>
          <w:rFonts w:ascii="仿宋" w:hAnsi="仿宋" w:eastAsia="仿宋" w:hint="eastAsia"/>
        </w:rPr>
        <w:t xml:space="preserve">景观资源丰富：青秀山公园（5A）、石门森林公园环绕；</w:t>
      </w:r>
      <w:r>
        <w:rPr>
          <w:sz w:val="30"/>
          <w:szCs w:val="30"/>
          <w:rFonts w:ascii="仿宋" w:hAnsi="仿宋" w:eastAsia="仿宋" w:hint="eastAsia"/>
        </w:rPr>
      </w:r>
    </w:p>
    <w:p>
      <w:pPr>
        <w:pStyle w:val="Normal"/>
        <w:numPr>
          <w:ilvl w:val="0"/>
          <w:numId w:val="1"/>
        </w:numPr>
        <w:tabs>
          <w:tab w:val="left" w:pos="720"/>
        </w:tabs>
        <w:spacing w:line="360" w:lineRule="auto"/>
        <w:rPr>
          <w:sz w:val="30"/>
          <w:szCs w:val="30"/>
          <w:rFonts w:ascii="仿宋" w:hAnsi="仿宋" w:eastAsia="仿宋" w:hint="eastAsia"/>
        </w:rPr>
      </w:pPr>
      <w:r>
        <w:rPr>
          <w:sz w:val="30"/>
          <w:szCs w:val="30"/>
          <w:rFonts w:ascii="仿宋" w:hAnsi="仿宋" w:eastAsia="仿宋" w:hint="eastAsia"/>
        </w:rPr>
        <w:t xml:space="preserve">交通便利：地铁6号线直达。</w:t>
      </w:r>
      <w:r>
        <w:rPr>
          <w:sz w:val="30"/>
          <w:szCs w:val="30"/>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项目现总净用地面积400.368亩，已开发土地面积约267亩，规划有联排别墅、独立别墅及花园洋房，开发建筑面积约21万平方米， 2009年已全部售罄。现市面上大自然花园洋房的二手房价格约16000元/㎡，独立别墅约2600万元/套，且一墅难求。宜居、宜景、宜学，是大自然花园项目成为“南宁市顶级豪宅”的先天条件。</w:t>
      </w:r>
      <w:r>
        <w:rPr>
          <w:sz w:val="30"/>
          <w:szCs w:val="30"/>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由于该区域新房供应稀缺，2025年初，紧邻大自然花园旁一宗约15亩土地的竞拍价格，楼面价高达14000元/㎡。故“大自然花园”项目剩余的待开发的72,000平方米（约108亩，容积率2.43）前景乐观，毫无去化压力。</w:t>
      </w:r>
      <w:r>
        <w:rPr>
          <w:sz w:val="30"/>
          <w:szCs w:val="30"/>
          <w:rFonts w:ascii="仿宋" w:hAnsi="仿宋" w:eastAsia="仿宋" w:hint="eastAsia"/>
        </w:rPr>
      </w:r>
    </w:p>
    <w:p>
      <w:pPr>
        <w:pStyle w:val="Normal"/>
        <w:tabs>
          <w:tab w:val="left" w:pos="720"/>
        </w:tabs>
        <w:spacing w:line="360" w:lineRule="auto"/>
        <w:rPr>
          <w:b w:val="1"/>
          <w:sz w:val="30"/>
          <w:szCs w:val="30"/>
          <w:rFonts w:ascii="仿宋" w:hAnsi="仿宋" w:eastAsia="仿宋" w:hint="eastAsia"/>
        </w:rPr>
      </w:pPr>
      <w:r>
        <w:rPr>
          <w:b w:val="1"/>
          <w:sz w:val="30"/>
          <w:szCs w:val="30"/>
          <w:rFonts w:ascii="仿宋" w:hAnsi="仿宋" w:eastAsia="仿宋" w:hint="eastAsia"/>
        </w:rPr>
        <w:t xml:space="preserve">二、卓越的政府沟通与资产增值能力</w:t>
      </w:r>
      <w:r>
        <w:rPr>
          <w:b w:val="1"/>
          <w:sz w:val="30"/>
          <w:szCs w:val="30"/>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企业的实力不仅体现在市场端的成功，更体现在应对复杂局面、实现资产价值最大化的超凡能力上。在这一方面，本公司展现出了远超同行的卓越水准。</w:t>
      </w:r>
      <w:r>
        <w:rPr>
          <w:sz w:val="30"/>
          <w:szCs w:val="30"/>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bookmarkStart w:id="3" w:name="OLE_LINK3"/>
      <w:r>
        <w:rPr>
          <w:sz w:val="30"/>
          <w:szCs w:val="30"/>
          <w:rFonts w:ascii="仿宋" w:hAnsi="仿宋" w:eastAsia="仿宋" w:hint="eastAsia"/>
        </w:rPr>
        <w:t xml:space="preserve">在“大自然花园”项目</w:t>
      </w:r>
      <w:bookmarkEnd w:id="3"/>
      <w:bookmarkStart w:id="4" w:name="OLE_LINK5"/>
      <w:bookmarkStart w:id="5" w:name="OLE_LINK4"/>
      <w:r>
        <w:rPr>
          <w:sz w:val="30"/>
          <w:szCs w:val="30"/>
          <w:rFonts w:ascii="仿宋" w:hAnsi="仿宋" w:eastAsia="仿宋" w:hint="eastAsia"/>
        </w:rPr>
        <w:t xml:space="preserve">运营期间，</w:t>
      </w:r>
      <w:bookmarkEnd w:id="4"/>
      <w:bookmarkEnd w:id="5"/>
      <w:r>
        <w:rPr>
          <w:sz w:val="30"/>
          <w:szCs w:val="30"/>
          <w:rFonts w:ascii="仿宋" w:hAnsi="仿宋" w:eastAsia="仿宋" w:hint="eastAsia"/>
        </w:rPr>
        <w:t xml:space="preserve">因政府原因，收回部分土地。面对这一挑战，公司凭借与政府部门长期建立的互信、良好的沟通，成功促成土地置换。最终置换到青秀区佛子岭路延长线北侧92.65亩土地（容积率2.3）及青秀区三岸片区的两宗一线临江住宅开发地共156.41亩（容积率2.0）。其中，三岸两宗土地2017年的置换评估货值约人民币5.79亿元（折合370.372万元/亩），但根据近期三岸板块同类临江土地成交楼面价保守估算，该156.41亩土地市场价值已升值为约人民币20亿元。</w:t>
      </w:r>
      <w:r>
        <w:rPr>
          <w:sz w:val="30"/>
          <w:szCs w:val="30"/>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这次成功的土地运作，堪称行业内的经典案例。它不仅完美规避了因政策变动带来的风险，更将一次潜在的“危机”转化为了巨大的发展“机遇”。为公司未来的可持续发展奠定了无比坚实的物质基础，也充分证明了公司管理层深邃的战略远见、强大的资源整合能力与非凡的资产运作实力。</w:t>
      </w:r>
      <w:r>
        <w:rPr>
          <w:sz w:val="30"/>
          <w:szCs w:val="30"/>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南宁大自然花园置业有限公司是一家拥有清晰战略和巨大潜力的公司。在魏杰的带领下，我们不仅有能力打造出市场上最成功的产品，更有智慧与实力在复杂的宏观环境中，为公司和合作伙伴创造超额价值。从卓越的项目运作到传奇般的资产增值历程，无不印证着我们“化机遇为现实，转挑战为优势”的核心竞争力。</w:t>
      </w:r>
      <w:r>
        <w:rPr>
          <w:sz w:val="30"/>
          <w:szCs w:val="30"/>
          <w:rFonts w:ascii="仿宋" w:hAnsi="仿宋" w:eastAsia="仿宋" w:hint="eastAsia"/>
        </w:rPr>
      </w:r>
    </w:p>
    <w:p>
      <w:pPr>
        <w:pStyle w:val="Normal"/>
        <w:rPr>
          <w:b w:val="1"/>
          <w:sz w:val="32"/>
          <w:bCs/>
          <w:rFonts w:hint="eastAsia"/>
        </w:rPr>
      </w:pPr>
      <w:r>
        <w:rPr>
          <w:b w:val="1"/>
          <w:sz w:val="32"/>
          <w:bCs/>
          <w:rFonts w:hint="eastAsia"/>
        </w:rPr>
      </w:r>
      <w:r>
        <w:rPr>
          <w:b w:val="1"/>
          <w:sz w:val="32"/>
          <w:rFonts w:hint="eastAsia"/>
        </w:rPr>
        <w:t>优质合作方介绍</w:t>
      </w:r>
    </w:p>
    <w:p>
      <w:pPr>
        <w:pStyle w:val="Normal"/>
        <w:tabs>
          <w:tab w:val="left" w:pos="720"/>
        </w:tabs>
        <w:spacing w:line="360" w:lineRule="auto"/>
        <w:ind w:firstLine="602" w:firstLineChars="200"/>
        <w:rPr>
          <w:b w:val="1"/>
          <w:sz w:val="30"/>
          <w:szCs w:val="30"/>
          <w:bCs/>
          <w:rFonts w:ascii="仿宋" w:hAnsi="仿宋" w:eastAsia="仿宋" w:hint="eastAsia"/>
        </w:rPr>
      </w:pPr>
      <w:r>
        <w:rPr>
          <w:b w:val="1"/>
          <w:sz w:val="30"/>
          <w:szCs w:val="30"/>
          <w:bCs/>
          <w:rFonts w:ascii="仿宋" w:hAnsi="仿宋" w:eastAsia="仿宋" w:hint="eastAsia"/>
        </w:rPr>
        <w:t xml:space="preserve">科冕木业（昆山）有限公司</w:t>
      </w:r>
      <w:r>
        <w:rPr>
          <w:sz w:val="30"/>
          <w:szCs w:val="30"/>
          <w:rFonts w:ascii="仿宋" w:hAnsi="仿宋" w:eastAsia="仿宋" w:hint="eastAsia"/>
        </w:rPr>
        <w:t xml:space="preserve">地址位于江苏省昆山市淀山湖镇淀兴路100号，</w:t>
      </w:r>
      <w:r>
        <w:rPr>
          <w:sz w:val="30"/>
          <w:lang w:val="en-US" w:eastAsia="zh-CN"/>
          <w:szCs w:val="30"/>
          <w:rFonts w:ascii="仿宋" w:hAnsi="仿宋" w:eastAsia="仿宋" w:hint="eastAsia"/>
        </w:rPr>
        <w:t xml:space="preserve">2003年4月17日成立，注册资本2931.34万元。主营范围：地板及其他木制品加工；销售自产产品；从事与本企业生产同类产品的商业批发及进出口业务；食品销售；非居住房地产租赁；物业管理。</w:t>
      </w:r>
      <w:r>
        <w:rPr>
          <w:sz w:val="30"/>
          <w:lang w:val="en-US" w:eastAsia="zh-CN"/>
          <w:szCs w:val="30"/>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科冕木业（昆山）有限公司</w:t>
      </w:r>
      <w:r>
        <w:rPr>
          <w:sz w:val="30"/>
          <w:lang w:val="en-US" w:eastAsia="zh-CN"/>
          <w:szCs w:val="30"/>
          <w:rFonts w:ascii="仿宋" w:hAnsi="仿宋" w:eastAsia="仿宋" w:hint="eastAsia"/>
        </w:rPr>
        <w:t xml:space="preserve">拥</w:t>
      </w:r>
      <w:r>
        <w:rPr>
          <w:sz w:val="30"/>
          <w:szCs w:val="30"/>
          <w:rFonts w:ascii="仿宋" w:hAnsi="仿宋" w:eastAsia="仿宋" w:hint="eastAsia"/>
        </w:rPr>
        <w:t xml:space="preserve">有</w:t>
      </w:r>
      <w:r>
        <w:rPr>
          <w:sz w:val="30"/>
          <w:lang w:val="en-US" w:eastAsia="zh-CN"/>
          <w:szCs w:val="30"/>
          <w:rFonts w:ascii="仿宋" w:hAnsi="仿宋" w:eastAsia="仿宋" w:hint="eastAsia"/>
        </w:rPr>
        <w:t xml:space="preserve">房产（8个）面积</w:t>
      </w:r>
      <w:r>
        <w:rPr>
          <w:sz w:val="30"/>
          <w:szCs w:val="30"/>
          <w:rFonts w:ascii="仿宋" w:hAnsi="仿宋" w:eastAsia="仿宋" w:hint="eastAsia"/>
        </w:rPr>
        <w:t xml:space="preserve">共</w:t>
      </w:r>
      <w:r>
        <w:rPr>
          <w:sz w:val="30"/>
          <w:lang w:val="en-US" w:eastAsia="zh-CN"/>
          <w:szCs w:val="30"/>
          <w:rFonts w:ascii="仿宋" w:hAnsi="仿宋" w:eastAsia="仿宋" w:hint="eastAsia"/>
        </w:rPr>
        <w:t xml:space="preserve">计</w:t>
      </w:r>
      <w:r>
        <w:rPr>
          <w:sz w:val="30"/>
          <w:szCs w:val="30"/>
          <w:rFonts w:ascii="仿宋" w:hAnsi="仿宋" w:eastAsia="仿宋" w:hint="eastAsia"/>
        </w:rPr>
        <w:t xml:space="preserve">29958.09平方米</w:t>
      </w:r>
      <w:r>
        <w:rPr>
          <w:sz w:val="30"/>
          <w:lang w:eastAsia="zh-CN"/>
          <w:szCs w:val="30"/>
          <w:rFonts w:ascii="仿宋" w:hAnsi="仿宋" w:eastAsia="仿宋" w:hint="eastAsia"/>
        </w:rPr>
        <w:t xml:space="preserve">，</w:t>
      </w:r>
      <w:r>
        <w:rPr>
          <w:sz w:val="30"/>
          <w:szCs w:val="30"/>
          <w:rFonts w:ascii="仿宋" w:hAnsi="仿宋" w:eastAsia="仿宋" w:hint="eastAsia"/>
        </w:rPr>
        <w:t xml:space="preserve">房产</w:t>
      </w:r>
      <w:r>
        <w:rPr>
          <w:sz w:val="30"/>
          <w:lang w:val="en-US" w:eastAsia="zh-CN"/>
          <w:szCs w:val="30"/>
          <w:rFonts w:ascii="仿宋" w:hAnsi="仿宋" w:eastAsia="仿宋" w:hint="eastAsia"/>
        </w:rPr>
        <w:t xml:space="preserve">出租面积29601.21平方米（含厂房面积12095.21平方米），</w:t>
      </w:r>
      <w:r>
        <w:rPr>
          <w:sz w:val="30"/>
          <w:szCs w:val="30"/>
          <w:rFonts w:ascii="仿宋" w:hAnsi="仿宋" w:eastAsia="仿宋" w:hint="eastAsia"/>
        </w:rPr>
        <w:t xml:space="preserve">年租金1000万元，未来会以5%年度递增。</w:t>
      </w:r>
      <w:r>
        <w:rPr>
          <w:sz w:val="30"/>
          <w:lang w:val="en-US" w:eastAsia="zh-CN"/>
          <w:szCs w:val="30"/>
          <w:rFonts w:ascii="仿宋" w:hAnsi="仿宋" w:eastAsia="仿宋" w:hint="eastAsia"/>
        </w:rPr>
        <w:t xml:space="preserve">拥有</w:t>
      </w:r>
      <w:r>
        <w:rPr>
          <w:sz w:val="30"/>
          <w:szCs w:val="30"/>
          <w:rFonts w:ascii="仿宋" w:hAnsi="仿宋" w:eastAsia="仿宋" w:hint="eastAsia"/>
        </w:rPr>
        <w:t xml:space="preserve">土地</w:t>
      </w:r>
      <w:r>
        <w:rPr>
          <w:sz w:val="30"/>
          <w:lang w:val="en-US" w:eastAsia="zh-CN"/>
          <w:szCs w:val="30"/>
          <w:rFonts w:ascii="仿宋" w:hAnsi="仿宋" w:eastAsia="仿宋" w:hint="eastAsia"/>
        </w:rPr>
        <w:t xml:space="preserve">面积共计</w:t>
      </w:r>
      <w:r>
        <w:rPr>
          <w:sz w:val="30"/>
          <w:szCs w:val="30"/>
          <w:rFonts w:ascii="仿宋" w:hAnsi="仿宋" w:eastAsia="仿宋" w:hint="eastAsia"/>
        </w:rPr>
        <w:t xml:space="preserve">61720.7平方米。</w:t>
      </w:r>
      <w:r>
        <w:rPr>
          <w:sz w:val="30"/>
          <w:szCs w:val="30"/>
          <w:rFonts w:ascii="仿宋" w:hAnsi="仿宋" w:eastAsia="仿宋" w:hint="eastAsia"/>
        </w:rPr>
      </w:r>
    </w:p>
    <w:p>
      <w:pPr>
        <w:pStyle w:val="Normal"/>
        <w:rPr>
          <w:b w:val="1"/>
          <w:sz w:val="32"/>
          <w:bCs/>
          <w:rFonts w:hint="eastAsia"/>
        </w:rPr>
      </w:pPr>
      <w:r>
        <w:rPr>
          <w:b w:val="1"/>
          <w:sz w:val="32"/>
          <w:bCs/>
          <w:rFonts w:hint="eastAsia"/>
        </w:rPr>
      </w:r>
    </w:p>
    <w:p>
      <w:pPr>
        <w:pStyle w:val="Normal"/>
        <w:tabs>
          <w:tab w:val="left" w:pos="720"/>
        </w:tabs>
        <w:spacing w:line="360" w:lineRule="auto"/>
        <w:ind w:firstLine="602" w:firstLineChars="200"/>
        <w:rPr>
          <w:b w:val="1"/>
          <w:sz w:val="30"/>
          <w:szCs w:val="30"/>
          <w:bCs/>
          <w:rFonts w:ascii="仿宋" w:hAnsi="仿宋" w:eastAsia="仿宋" w:hint="eastAsia"/>
        </w:rPr>
      </w:pPr>
      <w:r>
        <w:rPr>
          <w:b w:val="1"/>
          <w:sz w:val="30"/>
          <w:szCs w:val="30"/>
          <w:bCs/>
          <w:rFonts w:ascii="仿宋" w:hAnsi="仿宋" w:eastAsia="仿宋" w:hint="eastAsia"/>
        </w:rPr>
        <w:t xml:space="preserve">为新有限公司Newest Wise Limited</w:t>
      </w:r>
      <w:r>
        <w:rPr>
          <w:sz w:val="30"/>
          <w:szCs w:val="30"/>
          <w:rFonts w:ascii="仿宋" w:hAnsi="仿宋" w:eastAsia="仿宋" w:hint="eastAsia"/>
        </w:rPr>
        <w:t xml:space="preserve">（以下简称“为新公司”）是香港注册的有限公司，成立于2007年8月6日，公司主营业务为对外投资控股，即投资并持有天娱数字科技（大连）集团股份有限公司（股票代码：002354、以下简称“天娱数科”）股票，持有48,523,319股，占上市公司总股本2.93%，</w:t>
      </w:r>
      <w:r>
        <w:rPr>
          <w:sz w:val="30"/>
          <w:szCs w:val="30"/>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天娱数科于2010年2月9日于深圳证券交易所上市，是一家以人工智能、大数据、数字内容为核心驱动的全球化发展数字科技企业。截至</w:t>
      </w:r>
      <w:r>
        <w:rPr>
          <w:b w:val="1"/>
          <w:sz w:val="30"/>
          <w:szCs w:val="30"/>
          <w:bCs/>
          <w:rFonts w:ascii="仿宋" w:hAnsi="仿宋" w:eastAsia="仿宋" w:hint="eastAsia"/>
        </w:rPr>
        <w:t xml:space="preserve">2025年度前三季度业绩营业收入15.08亿元，归属母公司净利润4270.3万元。总市值约111亿元</w:t>
      </w:r>
      <w:r>
        <w:rPr>
          <w:b w:val="1"/>
          <w:sz w:val="30"/>
          <w:lang w:eastAsia="zh-CN"/>
          <w:szCs w:val="30"/>
          <w:bCs/>
          <w:rFonts w:ascii="仿宋" w:hAnsi="仿宋" w:eastAsia="仿宋" w:hint="eastAsia"/>
        </w:rPr>
        <w:t xml:space="preserve">。</w:t>
      </w:r>
      <w:r>
        <w:rPr>
          <w:sz w:val="30"/>
          <w:lang w:eastAsia="zh-CN"/>
          <w:szCs w:val="30"/>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主营业务：AI营销SaaS、移动应用分发PaaS、空间智能MaaS三大平台</w:t>
      </w:r>
      <w:r>
        <w:rPr>
          <w:sz w:val="30"/>
          <w:szCs w:val="30"/>
          <w:rFonts w:ascii="仿宋" w:hAnsi="仿宋" w:eastAsia="仿宋" w:hint="eastAsia"/>
        </w:rPr>
      </w:r>
    </w:p>
    <w:p>
      <w:pPr>
        <w:pStyle w:val="Normal"/>
        <w:tabs>
          <w:tab w:val="left" w:pos="720"/>
        </w:tabs>
        <w:spacing w:line="360" w:lineRule="auto"/>
        <w:ind w:firstLine="602" w:firstLineChars="200"/>
        <w:rPr>
          <w:b w:val="1"/>
          <w:sz w:val="30"/>
          <w:szCs w:val="30"/>
          <w:bCs/>
          <w:rFonts w:ascii="仿宋" w:hAnsi="仿宋" w:eastAsia="仿宋" w:hint="eastAsia"/>
        </w:rPr>
      </w:pPr>
      <w:r>
        <w:rPr>
          <w:b w:val="1"/>
          <w:sz w:val="30"/>
          <w:szCs w:val="30"/>
          <w:bCs/>
          <w:rFonts w:ascii="仿宋" w:hAnsi="仿宋" w:eastAsia="仿宋" w:hint="eastAsia"/>
        </w:rPr>
        <w:t xml:space="preserve">1、AI营销SaaS平台</w:t>
      </w:r>
      <w:r>
        <w:rPr>
          <w:b w:val="1"/>
          <w:sz w:val="30"/>
          <w:szCs w:val="30"/>
          <w:bCs/>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智能营销业务以移动互联网广告代理为核心业务。目前已获得巨量引擎（字节跳动旗下抖音、今日头条等）全国代理商资质、快手重庆区域效果广告代理商资质，服务国内在线教育、网络服务、金融保险、电商等行业重点客户。</w:t>
      </w:r>
      <w:r>
        <w:rPr>
          <w:sz w:val="30"/>
          <w:szCs w:val="30"/>
          <w:rFonts w:ascii="仿宋" w:hAnsi="仿宋" w:eastAsia="仿宋" w:hint="eastAsia"/>
        </w:rPr>
      </w:r>
    </w:p>
    <w:p>
      <w:pPr>
        <w:pStyle w:val="Normal"/>
        <w:tabs>
          <w:tab w:val="left" w:pos="720"/>
        </w:tabs>
        <w:spacing w:line="360" w:lineRule="auto"/>
        <w:ind w:firstLine="602" w:firstLineChars="200"/>
        <w:rPr>
          <w:b w:val="1"/>
          <w:sz w:val="30"/>
          <w:szCs w:val="30"/>
          <w:bCs/>
          <w:rFonts w:ascii="仿宋" w:hAnsi="仿宋" w:eastAsia="仿宋" w:hint="eastAsia"/>
        </w:rPr>
      </w:pPr>
      <w:r>
        <w:rPr>
          <w:b w:val="1"/>
          <w:sz w:val="30"/>
          <w:szCs w:val="30"/>
          <w:bCs/>
          <w:rFonts w:ascii="仿宋" w:hAnsi="仿宋" w:eastAsia="仿宋" w:hint="eastAsia"/>
        </w:rPr>
        <w:t xml:space="preserve">2、移动应用分发PaaS平台</w:t>
      </w:r>
      <w:r>
        <w:rPr>
          <w:b w:val="1"/>
          <w:sz w:val="30"/>
          <w:szCs w:val="30"/>
          <w:bCs/>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移动应用分发PaaS平台爱思助手是一款专业的iOS设备管理工具，提供刷机升级、数据备份、广告投放、应用下载等全方位服务。截至2025年6月平台总注册用户达3.49亿，上架的移动应用覆盖了社交、电商、游戏等众多领域，满足了各类客户使用需求。</w:t>
      </w:r>
      <w:r>
        <w:rPr>
          <w:sz w:val="30"/>
          <w:szCs w:val="30"/>
          <w:rFonts w:ascii="仿宋" w:hAnsi="仿宋" w:eastAsia="仿宋" w:hint="eastAsia"/>
        </w:rPr>
      </w:r>
    </w:p>
    <w:p>
      <w:pPr>
        <w:pStyle w:val="Normal"/>
        <w:tabs>
          <w:tab w:val="left" w:pos="720"/>
        </w:tabs>
        <w:spacing w:line="360" w:lineRule="auto"/>
        <w:ind w:firstLine="602" w:firstLineChars="200"/>
        <w:rPr>
          <w:b w:val="1"/>
          <w:sz w:val="30"/>
          <w:szCs w:val="30"/>
          <w:bCs/>
          <w:rFonts w:ascii="仿宋" w:hAnsi="仿宋" w:eastAsia="仿宋" w:hint="eastAsia"/>
        </w:rPr>
      </w:pPr>
      <w:r>
        <w:rPr>
          <w:b w:val="1"/>
          <w:sz w:val="30"/>
          <w:szCs w:val="30"/>
          <w:bCs/>
          <w:rFonts w:ascii="仿宋" w:hAnsi="仿宋" w:eastAsia="仿宋" w:hint="eastAsia"/>
        </w:rPr>
        <w:t xml:space="preserve">3、空间智能MaaS平台</w:t>
      </w:r>
      <w:r>
        <w:rPr>
          <w:b w:val="1"/>
          <w:sz w:val="30"/>
          <w:szCs w:val="30"/>
          <w:bCs/>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专注空间智能交互技术研发，致力于通过技术创新，让虚拟空间的交互体验更加智能化和自然化。依托自主研发的"元享"智能平台，整合多模态数据和先进算法，为3D智能交互场景提供核心技术支撑。同时，公司通过高精度3D扫描技术采集真实世界数据，构建专业数据集，为具身智能、机器人等前沿领域的发展提供数据支持，助力人工智能更好地理解和适应物理环境。技术已应用于虚拟现实、智能机器人等多个领域，推动人机交互技术的创新发展。</w:t>
      </w:r>
      <w:r>
        <w:rPr>
          <w:sz w:val="30"/>
          <w:szCs w:val="30"/>
          <w:rFonts w:ascii="仿宋" w:hAnsi="仿宋" w:eastAsia="仿宋" w:hint="eastAsia"/>
        </w:rPr>
      </w:r>
    </w:p>
    <w:p>
      <w:pPr>
        <w:pStyle w:val="Normal"/>
        <w:tabs>
          <w:tab w:val="left" w:pos="720"/>
        </w:tabs>
        <w:spacing w:line="360" w:lineRule="auto"/>
        <w:ind w:firstLine="602" w:firstLineChars="200"/>
        <w:rPr>
          <w:b w:val="1"/>
          <w:sz w:val="30"/>
          <w:szCs w:val="30"/>
          <w:bCs/>
          <w:rFonts w:ascii="仿宋" w:hAnsi="仿宋" w:eastAsia="仿宋" w:hint="eastAsia"/>
        </w:rPr>
      </w:pPr>
      <w:r>
        <w:rPr>
          <w:b w:val="1"/>
          <w:sz w:val="30"/>
          <w:szCs w:val="30"/>
          <w:bCs/>
          <w:rFonts w:ascii="仿宋" w:hAnsi="仿宋" w:eastAsia="仿宋" w:hint="eastAsia"/>
        </w:rPr>
        <w:t xml:space="preserve">4、数据流量谷</w:t>
      </w:r>
      <w:r>
        <w:rPr>
          <w:b w:val="1"/>
          <w:sz w:val="30"/>
          <w:szCs w:val="30"/>
          <w:bCs/>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公司重点打造的数字经济产业园区“数据流量谷”已在山西落地运营。“数据流量谷”是聚焦数字经济的产业园区，重点服务于人工智能、元宇宙、跨境电商等领域的企业，为企业提供数据资源、算法技术和算力支持等核心服务，助力企业实现数字化升级和智能化转型。山西数据流量谷已成功吸引近800家数字经济企业入驻，拉动园区企业累计营收超过449亿元，累计纳税总额10亿元。</w:t>
      </w:r>
      <w:r>
        <w:rPr>
          <w:sz w:val="30"/>
          <w:szCs w:val="30"/>
          <w:rFonts w:ascii="仿宋" w:hAnsi="仿宋" w:eastAsia="仿宋" w:hint="eastAsia"/>
        </w:rPr>
      </w:r>
    </w:p>
    <w:p>
      <w:pPr>
        <w:pStyle w:val="Normal"/>
        <w:tabs>
          <w:tab w:val="left" w:pos="720"/>
        </w:tabs>
        <w:spacing w:line="360" w:lineRule="auto"/>
        <w:ind w:firstLine="602" w:firstLineChars="200"/>
        <w:rPr>
          <w:b w:val="1"/>
          <w:sz w:val="30"/>
          <w:szCs w:val="30"/>
          <w:bCs/>
          <w:rFonts w:ascii="仿宋" w:hAnsi="仿宋" w:eastAsia="仿宋" w:hint="eastAsia"/>
        </w:rPr>
      </w:pPr>
      <w:r>
        <w:rPr>
          <w:b w:val="1"/>
          <w:sz w:val="30"/>
          <w:szCs w:val="30"/>
          <w:bCs/>
          <w:rFonts w:ascii="仿宋" w:hAnsi="仿宋" w:eastAsia="仿宋" w:hint="eastAsia"/>
        </w:rPr>
        <w:t xml:space="preserve">5、MCN业务</w:t>
      </w:r>
      <w:r>
        <w:rPr>
          <w:b w:val="1"/>
          <w:sz w:val="30"/>
          <w:szCs w:val="30"/>
          <w:bCs/>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立足TikTok全球发展机遇，成立MCN for Live事业群，已在印尼、泰国、美国、拉美、中东等多个国家和地区取得TikTok服务商资质，并在国内（杭州和广州）、海外（印尼和泰国）落地团播业务，目前团播数量超过30个，在北美、中东地区开展个播业务。</w:t>
      </w:r>
      <w:r>
        <w:rPr>
          <w:sz w:val="30"/>
          <w:szCs w:val="30"/>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r>
    </w:p>
    <w:p>
      <w:pPr>
        <w:pStyle w:val="Normal"/>
        <w:tabs>
          <w:tab w:val="left" w:pos="720"/>
        </w:tabs>
        <w:spacing w:line="360" w:lineRule="auto"/>
        <w:ind w:firstLine="600" w:firstLineChars="200"/>
        <w:rPr>
          <w:sz w:val="30"/>
          <w:szCs w:val="30"/>
          <w:rFonts w:ascii="仿宋" w:hAnsi="仿宋" w:eastAsia="仿宋" w:hint="eastAsia"/>
        </w:rPr>
      </w:pPr>
      <w:r>
        <w:rPr>
          <w:sz w:val="30"/>
          <w:szCs w:val="30"/>
          <w:rFonts w:ascii="仿宋" w:hAnsi="仿宋" w:eastAsia="仿宋" w:hint="eastAsia"/>
        </w:rPr>
        <w:t xml:space="preserve">天娱数科以"数字化、智能化、全球化"为发展战略，积极把握数字经济发展机遇。将继续深耕具身智能、数据要素流通等前沿领域，依托三大模型矩阵与业务平台，赋能千行百业数字化转型。随着AI技术的持续发展和商业化落地加速，天娱数科有望在数字经济与AI技术双轮驱动下，实现可持续的高质量发展。</w:t>
      </w:r>
    </w:p>
    <w:sectPr>
      <w:type w:val="nextPage"/>
      <w:docGrid w:type="lines" w:linePitch="312"/>
      <w:pgSz w:w="11906" w:h="16838"/>
      <w:pgMar w:top="1440" w:right="1800" w:bottom="1440" w:left="1620" w:header="851" w:footer="992" w:gutter="0"/>
    </w:sectPr>
  </w:body>
</w:document>
</file>

<file path=word/fontTable.xml><?xml version="1.0" encoding="utf-8"?>
<w:font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s>
</file>

<file path=word/numbering.xml><?xml version="1.0" encoding="utf-8"?>
<w:numbering xmlns:wps="http://schemas.microsoft.com/office/word/2010/wordprocessingShape" xmlns:wpc="http://schemas.microsoft.com/office/word/2010/wordprocessingCanvas" xmlns:wne="http://schemas.microsoft.com/office/word/2006/wordml" xmlns:mc="http://schemas.openxmlformats.org/markup-compatibility/2006" xmlns:w14="http://schemas.microsoft.com/office/word/2010/wordml" xmlns:r="http://schemas.openxmlformats.org/officeDocument/2006/relationships" xmlns:v="urn:schemas-microsoft-com:vml" xmlns:wp14="http://schemas.microsoft.com/office/word/2010/wordprocessingDrawing" xmlns:wpg="http://schemas.microsoft.com/office/word/2010/wordprocessingGroup" xmlns:wp="http://schemas.openxmlformats.org/drawingml/2006/wordprocessingDrawing" xmlns:o="urn:schemas-microsoft-com:office:office" xmlns:w="http://schemas.openxmlformats.org/wordprocessingml/2006/main" xmlns:m="http://schemas.openxmlformats.org/officeDocument/2006/math" xmlns:w10="urn:schemas-microsoft-com:office:word" xmlns:wpi="http://schemas.microsoft.com/office/word/2010/wordprocessingInk" xmlns:a="http://schemas.openxmlformats.org/drawingml/2006/main" mc:Ignorable="w14 wp14">
  <w:abstractNum w:abstractNumId="0">
    <w:nsid w:val="30572A18"/>
    <w:multiLevelType w:val="multilevel"/>
    <w:tmpl w:val="30572A18"/>
    <w:lvl w:ilvl="0">
      <w:start w:val="1"/>
      <w:numFmt w:val="bullet"/>
      <w:suff w:val="tab"/>
      <w:lvlText w:val=""/>
      <w:lvlJc w:val="left"/>
      <w:pPr>
        <w:pStyle w:val="Normal"/>
        <w:ind w:hanging="420" w:left="1020"/>
      </w:pPr>
      <w:rPr>
        <w:rFonts w:ascii="Wingdings" w:hAnsi="Wingdings"/>
      </w:rPr>
    </w:lvl>
    <w:lvl w:ilvl="1">
      <w:start w:val="1"/>
      <w:numFmt w:val="bullet"/>
      <w:suff w:val="tab"/>
      <w:lvlText w:val=""/>
      <w:lvlJc w:val="left"/>
      <w:pPr>
        <w:pStyle w:val="Normal"/>
        <w:ind w:hanging="420" w:left="1440"/>
      </w:pPr>
      <w:rPr>
        <w:rFonts w:ascii="Wingdings" w:hAnsi="Wingdings"/>
      </w:rPr>
    </w:lvl>
    <w:lvl w:ilvl="2">
      <w:start w:val="1"/>
      <w:numFmt w:val="bullet"/>
      <w:suff w:val="tab"/>
      <w:lvlText w:val=""/>
      <w:lvlJc w:val="left"/>
      <w:pPr>
        <w:pStyle w:val="Normal"/>
        <w:ind w:hanging="420" w:left="1860"/>
      </w:pPr>
      <w:rPr>
        <w:rFonts w:ascii="Wingdings" w:hAnsi="Wingdings"/>
      </w:rPr>
    </w:lvl>
    <w:lvl w:ilvl="3">
      <w:start w:val="1"/>
      <w:numFmt w:val="bullet"/>
      <w:suff w:val="tab"/>
      <w:lvlText w:val=""/>
      <w:lvlJc w:val="left"/>
      <w:pPr>
        <w:pStyle w:val="Normal"/>
        <w:ind w:hanging="420" w:left="2280"/>
      </w:pPr>
      <w:rPr>
        <w:rFonts w:ascii="Wingdings" w:hAnsi="Wingdings"/>
      </w:rPr>
    </w:lvl>
    <w:lvl w:ilvl="4">
      <w:start w:val="1"/>
      <w:numFmt w:val="bullet"/>
      <w:suff w:val="tab"/>
      <w:lvlText w:val=""/>
      <w:lvlJc w:val="left"/>
      <w:pPr>
        <w:pStyle w:val="Normal"/>
        <w:ind w:hanging="420" w:left="2700"/>
      </w:pPr>
      <w:rPr>
        <w:rFonts w:ascii="Wingdings" w:hAnsi="Wingdings"/>
      </w:rPr>
    </w:lvl>
    <w:lvl w:ilvl="5">
      <w:start w:val="1"/>
      <w:numFmt w:val="bullet"/>
      <w:suff w:val="tab"/>
      <w:lvlText w:val=""/>
      <w:lvlJc w:val="left"/>
      <w:pPr>
        <w:pStyle w:val="Normal"/>
        <w:ind w:hanging="420" w:left="3120"/>
      </w:pPr>
      <w:rPr>
        <w:rFonts w:ascii="Wingdings" w:hAnsi="Wingdings"/>
      </w:rPr>
    </w:lvl>
    <w:lvl w:ilvl="6">
      <w:start w:val="1"/>
      <w:numFmt w:val="bullet"/>
      <w:suff w:val="tab"/>
      <w:lvlText w:val=""/>
      <w:lvlJc w:val="left"/>
      <w:pPr>
        <w:pStyle w:val="Normal"/>
        <w:ind w:hanging="420" w:left="3540"/>
      </w:pPr>
      <w:rPr>
        <w:rFonts w:ascii="Wingdings" w:hAnsi="Wingdings"/>
      </w:rPr>
    </w:lvl>
    <w:lvl w:ilvl="7">
      <w:start w:val="1"/>
      <w:numFmt w:val="bullet"/>
      <w:suff w:val="tab"/>
      <w:lvlText w:val=""/>
      <w:lvlJc w:val="left"/>
      <w:pPr>
        <w:pStyle w:val="Normal"/>
        <w:ind w:hanging="420" w:left="3960"/>
      </w:pPr>
      <w:rPr>
        <w:rFonts w:ascii="Wingdings" w:hAnsi="Wingdings"/>
      </w:rPr>
    </w:lvl>
    <w:lvl w:ilvl="8">
      <w:start w:val="1"/>
      <w:numFmt w:val="bullet"/>
      <w:suff w:val="tab"/>
      <w:lvlText w:val=""/>
      <w:lvlJc w:val="left"/>
      <w:pPr>
        <w:pStyle w:val="Normal"/>
        <w:ind w:hanging="420" w:left="4380"/>
      </w:pPr>
      <w:rPr>
        <w:rFonts w:ascii="Wingdings" w:hAnsi="Wingdings"/>
      </w:rPr>
    </w:lvl>
  </w:abstractNum>
  <w:num w:numId="1">
    <w:abstractNumId w:val="0"/>
  </w:num>
</w:numbering>
</file>

<file path=word/settings.xml><?xml version="1.0" encoding="utf-8"?>
<w:settings xmlns:w="http://schemas.openxmlformats.org/wordprocessingml/2006/main">
  <w:defaultTabStop w:val="420"/>
  <w:displayHorizontalDrawingGridEvery w:val="0"/>
  <w:displayVerticalDrawingGridEvery w:val="2"/>
  <w:characterSpacingControl w:val="compressPunctuation"/>
  <w:zoom w:percent="8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widowControl w:val="0"/>
      <w:jc w:val="both"/>
    </w:pPr>
    <w:rPr>
      <w:sz w:val="21"/>
      <w:lang w:val="en-US" w:eastAsia="zh-CN" w:bidi="ar-SA"/>
      <w:szCs w:val="24"/>
      <w:kern w:val="2"/>
    </w:rPr>
  </w:style>
  <w:style w:type="character" w:styleId="NormalCharacter">
    <w:name w:val="默认段落字体"/>
    <w:link w:val="Normal"/>
    <w:semiHidden/>
  </w:style>
  <w:style w:type="table" w:styleId="TableNormal">
    <w:name w:val="普通表格"/>
    <w:link w:val="Normal"/>
    <w:semiHidden/>
  </w:style>
  <w:style w:type="paragraph" w:styleId="Footer">
    <w:name w:val="页脚"/>
    <w:basedOn w:val="Normal"/>
    <w:link w:val="UserStyle_0"/>
    <w:pPr>
      <w:snapToGrid w:val="0"/>
      <w:jc w:val="start"/>
      <w:tabs>
        <w:tab w:val="center" w:pos="4153"/>
        <w:tab w:val="right" w:pos="8306"/>
      </w:tabs>
    </w:pPr>
    <w:rPr>
      <w:sz w:val="18"/>
      <w:szCs w:val="18"/>
    </w:rPr>
  </w:style>
  <w:style w:type="character" w:styleId="UserStyle_0">
    <w:name w:val="页脚 Char"/>
    <w:basedOn w:val="NormalCharacter"/>
    <w:link w:val="Footer"/>
    <w:rPr>
      <w:sz w:val="18"/>
      <w:szCs w:val="18"/>
      <w:kern w:val="2"/>
    </w:rPr>
  </w:style>
  <w:style w:type="paragraph" w:styleId="Header">
    <w:name w:val="页眉"/>
    <w:basedOn w:val="Normal"/>
    <w:link w:val="UserStyle_1"/>
    <w:pPr>
      <w:snapToGrid w:val="0"/>
      <w:jc w:val="center"/>
      <w:pBdr>
        <w:bottom w:val="single" w:color="auto" w:sz="6" w:space="1"/>
      </w:pBdr>
      <w:tabs>
        <w:tab w:val="center" w:pos="4153"/>
        <w:tab w:val="right" w:pos="8306"/>
      </w:tabs>
    </w:pPr>
    <w:rPr>
      <w:sz w:val="18"/>
      <w:szCs w:val="18"/>
    </w:rPr>
  </w:style>
  <w:style w:type="character" w:styleId="UserStyle_1">
    <w:name w:val="页眉 Char"/>
    <w:basedOn w:val="NormalCharacter"/>
    <w:link w:val="Header"/>
    <w:rPr>
      <w:sz w:val="18"/>
      <w:szCs w:val="18"/>
      <w:kern w:val="2"/>
    </w:rPr>
  </w:style>
</w:styles>
</file>

<file path=word/_rels/document.xml.rels><?xml version="1.0" encoding="UTF-8" standalone="yes"?><Relationships xmlns="http://schemas.openxmlformats.org/package/2006/relationships"><Relationship Id="rId3" Type="http://schemas.openxmlformats.org/officeDocument/2006/relationships/numbering" Target="numbering.xml" /><Relationship Id="rId1" Type="http://schemas.openxmlformats.org/officeDocument/2006/relationships/settings" Target="settings.xml" /><Relationship Id="rId2" Type="http://schemas.openxmlformats.org/officeDocument/2006/relationships/fontTable" Target="fontTable.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

<file path=tbak/modified.xml>Fri Nov  7 16:15:49 2025
save:Fri Nov  7 16:17:05 2025

</file>